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0D10"/>
          <w:sz w:val="38"/>
        </w:rPr>
        <w:t>Line Zero — AI phone line for cargo forwarders</w:t>
      </w:r>
    </w:p>
    <w:p>
      <w:pPr>
        <w:spacing w:after="200"/>
      </w:pPr>
      <w:r>
        <w:rPr>
          <w:color w:val="66707D"/>
          <w:sz w:val="22"/>
        </w:rPr>
        <w:t>Proposal · 04.10.2026 · 24/7 enquiry handling without night shifts</w:t>
      </w:r>
    </w:p>
    <w:p>
      <w:pPr>
        <w:spacing w:before="240" w:after="80"/>
      </w:pPr>
      <w:r>
        <w:rPr>
          <w:b/>
          <w:color w:val="C92A1A"/>
          <w:sz w:val="26"/>
        </w:rPr>
        <w:t>1. What we close</w:t>
      </w:r>
    </w:p>
    <w:p>
      <w:pPr>
        <w:spacing w:after="80"/>
      </w:pPr>
      <w:r>
        <w:rPr>
          <w:i w:val="0"/>
          <w:sz w:val="21"/>
        </w:rPr>
        <w:t>Your client sends a rate request in the evening Moscow time, when your China office is closed. By morning he has compared several quotes and picks whoever answered first. After that your managers spend hours pulling weight, volume, dimensions and cargo type out of the chat and answering "where is my shipment".</w:t>
      </w:r>
    </w:p>
    <w:p>
      <w:pPr>
        <w:spacing w:after="80"/>
      </w:pPr>
      <w:r>
        <w:rPr>
          <w:i w:val="0"/>
          <w:sz w:val="21"/>
        </w:rPr>
        <w:t>We install a voice line that does this instead: it answers, collects a qualification brief using your rules, replies on shipment status from your own table, calls back missed enquiries during your working day and drops a ready card into your CRM or Telegram. Your people are not replaced: customs, disputes and price negotiation stay with your managers.</w:t>
      </w:r>
    </w:p>
    <w:p>
      <w:pPr>
        <w:spacing w:after="80"/>
      </w:pPr>
      <w:r>
        <w:rPr>
          <w:i/>
          <w:color w:val="66707D"/>
          <w:sz w:val="21"/>
        </w:rPr>
        <w:t>The line follows your Russian-language script. Chinese is not supported by the platform; questions outside the configured rules are passed to your manager.</w:t>
      </w:r>
    </w:p>
    <w:p>
      <w:pPr>
        <w:spacing w:before="240" w:after="80"/>
      </w:pPr>
      <w:r>
        <w:rPr>
          <w:b/>
          <w:color w:val="C92A1A"/>
          <w:sz w:val="26"/>
        </w:rPr>
        <w:t>2. What the line does</w:t>
      </w:r>
    </w:p>
    <w:tbl>
      <w:tblPr>
        <w:tblStyle w:val="TableGrid"/>
        <w:tblW w:type="auto" w:w="0"/>
        <w:tblLook w:firstColumn="1" w:firstRow="1" w:lastColumn="0" w:lastRow="0" w:noHBand="0" w:noVBand="1" w:val="04A0"/>
      </w:tblPr>
      <w:tblGrid>
        <w:gridCol w:w="3400"/>
        <w:gridCol w:w="3400"/>
        <w:gridCol w:w="3400"/>
      </w:tblGrid>
      <w:tr>
        <w:tc>
          <w:tcPr>
            <w:tcW w:type="dxa" w:w="2041"/>
          </w:tcPr>
          <w:p>
            <w:r/>
            <w:r>
              <w:rPr>
                <w:b/>
                <w:sz w:val="20"/>
              </w:rPr>
              <w:t>Scenario</w:t>
            </w:r>
          </w:p>
        </w:tc>
        <w:tc>
          <w:tcPr>
            <w:tcW w:type="dxa" w:w="4649"/>
          </w:tcPr>
          <w:p>
            <w:r/>
            <w:r>
              <w:rPr>
                <w:b/>
                <w:sz w:val="20"/>
              </w:rPr>
              <w:t>How it works</w:t>
            </w:r>
          </w:p>
        </w:tc>
        <w:tc>
          <w:tcPr>
            <w:tcW w:type="dxa" w:w="2721"/>
          </w:tcPr>
          <w:p>
            <w:r/>
            <w:r>
              <w:rPr>
                <w:b/>
                <w:sz w:val="20"/>
              </w:rPr>
              <w:t>What your manager gets</w:t>
            </w:r>
          </w:p>
        </w:tc>
      </w:tr>
      <w:tr>
        <w:tc>
          <w:tcPr>
            <w:tcW w:type="dxa" w:w="2041"/>
          </w:tcPr>
          <w:p>
            <w:r/>
            <w:r>
              <w:rPr>
                <w:sz w:val="20"/>
              </w:rPr>
              <w:t>Rate-request brief</w:t>
            </w:r>
          </w:p>
        </w:tc>
        <w:tc>
          <w:tcPr>
            <w:tcW w:type="dxa" w:w="4649"/>
          </w:tcPr>
          <w:p>
            <w:r/>
            <w:r>
              <w:rPr>
                <w:sz w:val="20"/>
              </w:rPr>
              <w:t>Asks the 8 fields you need: origin, destination, weight, volume, dimensions, cargo type, purchase &amp; inspection, customs mode, deadline</w:t>
            </w:r>
          </w:p>
        </w:tc>
        <w:tc>
          <w:tcPr>
            <w:tcW w:type="dxa" w:w="2721"/>
          </w:tcPr>
          <w:p>
            <w:r/>
            <w:r>
              <w:rPr>
                <w:sz w:val="20"/>
              </w:rPr>
              <w:t>A filled card, not "how much?"</w:t>
            </w:r>
          </w:p>
        </w:tc>
      </w:tr>
      <w:tr>
        <w:tc>
          <w:tcPr>
            <w:tcW w:type="dxa" w:w="2041"/>
          </w:tcPr>
          <w:p>
            <w:r/>
            <w:r>
              <w:rPr>
                <w:sz w:val="20"/>
              </w:rPr>
              <w:t>Shipment status</w:t>
            </w:r>
          </w:p>
        </w:tc>
        <w:tc>
          <w:tcPr>
            <w:tcW w:type="dxa" w:w="4649"/>
          </w:tcPr>
          <w:p>
            <w:r/>
            <w:r>
              <w:rPr>
                <w:sz w:val="20"/>
              </w:rPr>
              <w:t>Answers "where is my cargo" from your status table; if data is missing it logs a question instead of inventing</w:t>
            </w:r>
          </w:p>
        </w:tc>
        <w:tc>
          <w:tcPr>
            <w:tcW w:type="dxa" w:w="2721"/>
          </w:tcPr>
          <w:p>
            <w:r/>
            <w:r>
              <w:rPr>
                <w:sz w:val="20"/>
              </w:rPr>
              <w:t>Silence on the line during dispatch days</w:t>
            </w:r>
          </w:p>
        </w:tc>
      </w:tr>
      <w:tr>
        <w:tc>
          <w:tcPr>
            <w:tcW w:type="dxa" w:w="2041"/>
          </w:tcPr>
          <w:p>
            <w:r/>
            <w:r>
              <w:rPr>
                <w:sz w:val="20"/>
              </w:rPr>
              <w:t>Night intake</w:t>
            </w:r>
          </w:p>
        </w:tc>
        <w:tc>
          <w:tcPr>
            <w:tcW w:type="dxa" w:w="4649"/>
          </w:tcPr>
          <w:p>
            <w:r/>
            <w:r>
              <w:rPr>
                <w:sz w:val="20"/>
              </w:rPr>
              <w:t>Answers 19:00–09:00 MSK and keeps a queue of requests</w:t>
            </w:r>
          </w:p>
        </w:tc>
        <w:tc>
          <w:tcPr>
            <w:tcW w:type="dxa" w:w="2721"/>
          </w:tcPr>
          <w:p>
            <w:r/>
            <w:r>
              <w:rPr>
                <w:sz w:val="20"/>
              </w:rPr>
              <w:t>A line of clients waiting for a quote in the morning</w:t>
            </w:r>
          </w:p>
        </w:tc>
      </w:tr>
      <w:tr>
        <w:tc>
          <w:tcPr>
            <w:tcW w:type="dxa" w:w="2041"/>
          </w:tcPr>
          <w:p>
            <w:r/>
            <w:r>
              <w:rPr>
                <w:sz w:val="20"/>
              </w:rPr>
              <w:t>Morning call-back</w:t>
            </w:r>
          </w:p>
        </w:tc>
        <w:tc>
          <w:tcPr>
            <w:tcW w:type="dxa" w:w="4649"/>
          </w:tcPr>
          <w:p>
            <w:r/>
            <w:r>
              <w:rPr>
                <w:sz w:val="20"/>
              </w:rPr>
              <w:t>Calls everyone who wrote and got no reply</w:t>
            </w:r>
          </w:p>
        </w:tc>
        <w:tc>
          <w:tcPr>
            <w:tcW w:type="dxa" w:w="2721"/>
          </w:tcPr>
          <w:p>
            <w:r/>
            <w:r>
              <w:rPr>
                <w:sz w:val="20"/>
              </w:rPr>
              <w:t>Nothing counted as lost</w:t>
            </w:r>
          </w:p>
        </w:tc>
      </w:tr>
      <w:tr>
        <w:tc>
          <w:tcPr>
            <w:tcW w:type="dxa" w:w="2041"/>
          </w:tcPr>
          <w:p>
            <w:r/>
            <w:r>
              <w:rPr>
                <w:sz w:val="20"/>
              </w:rPr>
              <w:t>Warehouse questions</w:t>
            </w:r>
          </w:p>
        </w:tc>
        <w:tc>
          <w:tcPr>
            <w:tcW w:type="dxa" w:w="4649"/>
          </w:tcPr>
          <w:p>
            <w:r/>
            <w:r>
              <w:rPr>
                <w:sz w:val="20"/>
              </w:rPr>
              <w:t>Collects information using your Russian-language template, including container numbers and warehouse names</w:t>
            </w:r>
          </w:p>
        </w:tc>
        <w:tc>
          <w:tcPr>
            <w:tcW w:type="dxa" w:w="2721"/>
          </w:tcPr>
          <w:p>
            <w:r/>
            <w:r>
              <w:rPr>
                <w:sz w:val="20"/>
              </w:rPr>
              <w:t>Fewer repeated questions for your manager</w:t>
            </w:r>
          </w:p>
        </w:tc>
      </w:tr>
      <w:tr>
        <w:tc>
          <w:tcPr>
            <w:tcW w:type="dxa" w:w="2041"/>
          </w:tcPr>
          <w:p>
            <w:r/>
            <w:r>
              <w:rPr>
                <w:sz w:val="20"/>
              </w:rPr>
              <w:t>Base re-activation</w:t>
            </w:r>
          </w:p>
        </w:tc>
        <w:tc>
          <w:tcPr>
            <w:tcW w:type="dxa" w:w="4649"/>
          </w:tcPr>
          <w:p>
            <w:r/>
            <w:r>
              <w:rPr>
                <w:sz w:val="20"/>
              </w:rPr>
              <w:t>Calls those who asked a quote and disappeared: new rates, new route, space in the next consolidation</w:t>
            </w:r>
          </w:p>
        </w:tc>
        <w:tc>
          <w:tcPr>
            <w:tcW w:type="dxa" w:w="2721"/>
          </w:tcPr>
          <w:p>
            <w:r/>
            <w:r>
              <w:rPr>
                <w:sz w:val="20"/>
              </w:rPr>
              <w:t>Revenue from clients you already found</w:t>
            </w:r>
          </w:p>
        </w:tc>
      </w:tr>
      <w:tr>
        <w:tc>
          <w:tcPr>
            <w:tcW w:type="dxa" w:w="2041"/>
          </w:tcPr>
          <w:p>
            <w:r/>
            <w:r>
              <w:rPr>
                <w:sz w:val="20"/>
              </w:rPr>
              <w:t>Quality review</w:t>
            </w:r>
          </w:p>
        </w:tc>
        <w:tc>
          <w:tcPr>
            <w:tcW w:type="dxa" w:w="4649"/>
          </w:tcPr>
          <w:p>
            <w:r/>
            <w:r>
              <w:rPr>
                <w:sz w:val="20"/>
              </w:rPr>
              <w:t>Analyses 100 % of recordings: wrong rates, terminology mistakes, unanswered leads</w:t>
            </w:r>
          </w:p>
        </w:tc>
        <w:tc>
          <w:tcPr>
            <w:tcW w:type="dxa" w:w="2721"/>
          </w:tcPr>
          <w:p>
            <w:r/>
            <w:r>
              <w:rPr>
                <w:sz w:val="20"/>
              </w:rPr>
              <w:t>A short list of what to fix first</w:t>
            </w:r>
          </w:p>
        </w:tc>
      </w:tr>
    </w:tbl>
    <w:p>
      <w:pPr>
        <w:spacing w:before="240" w:after="80"/>
      </w:pPr>
      <w:r>
        <w:rPr>
          <w:b/>
          <w:color w:val="C92A1A"/>
          <w:sz w:val="26"/>
        </w:rPr>
        <w:t>3. Packages and price</w:t>
      </w:r>
    </w:p>
    <w:tbl>
      <w:tblPr>
        <w:tblStyle w:val="TableGrid"/>
        <w:tblW w:type="auto" w:w="0"/>
        <w:tblLook w:firstColumn="1" w:firstRow="1" w:lastColumn="0" w:lastRow="0" w:noHBand="0" w:noVBand="1" w:val="04A0"/>
      </w:tblPr>
      <w:tblGrid>
        <w:gridCol w:w="3400"/>
        <w:gridCol w:w="3400"/>
        <w:gridCol w:w="3400"/>
      </w:tblGrid>
      <w:tr>
        <w:tc>
          <w:tcPr>
            <w:tcW w:type="dxa" w:w="2608"/>
          </w:tcPr>
          <w:p>
            <w:r/>
            <w:r>
              <w:rPr>
                <w:b/>
                <w:sz w:val="20"/>
              </w:rPr>
              <w:t>Package</w:t>
            </w:r>
          </w:p>
        </w:tc>
        <w:tc>
          <w:tcPr>
            <w:tcW w:type="dxa" w:w="2608"/>
          </w:tcPr>
          <w:p>
            <w:r/>
            <w:r>
              <w:rPr>
                <w:b/>
                <w:sz w:val="20"/>
              </w:rPr>
              <w:t>Price</w:t>
            </w:r>
          </w:p>
        </w:tc>
        <w:tc>
          <w:tcPr>
            <w:tcW w:type="dxa" w:w="4195"/>
          </w:tcPr>
          <w:p>
            <w:r/>
            <w:r>
              <w:rPr>
                <w:b/>
                <w:sz w:val="20"/>
              </w:rPr>
              <w:t>Scope</w:t>
            </w:r>
          </w:p>
        </w:tc>
      </w:tr>
      <w:tr>
        <w:tc>
          <w:tcPr>
            <w:tcW w:type="dxa" w:w="2608"/>
          </w:tcPr>
          <w:p>
            <w:r/>
            <w:r>
              <w:rPr>
                <w:sz w:val="20"/>
              </w:rPr>
              <w:t>Trial launch</w:t>
            </w:r>
          </w:p>
        </w:tc>
        <w:tc>
          <w:tcPr>
            <w:tcW w:type="dxa" w:w="2608"/>
          </w:tcPr>
          <w:p>
            <w:r/>
            <w:r>
              <w:rPr>
                <w:sz w:val="20"/>
              </w:rPr>
              <w:t>Free, 14 days</w:t>
            </w:r>
          </w:p>
        </w:tc>
        <w:tc>
          <w:tcPr>
            <w:tcW w:type="dxa" w:w="4195"/>
          </w:tcPr>
          <w:p>
            <w:r/>
            <w:r>
              <w:rPr>
                <w:sz w:val="20"/>
              </w:rPr>
              <w:t>The line handles real calls. No call logs or recordings need to be sent.</w:t>
            </w:r>
          </w:p>
        </w:tc>
      </w:tr>
      <w:tr>
        <w:tc>
          <w:tcPr>
            <w:tcW w:type="dxa" w:w="2608"/>
          </w:tcPr>
          <w:p>
            <w:r/>
            <w:r>
              <w:rPr>
                <w:sz w:val="20"/>
              </w:rPr>
              <w:t>One lane</w:t>
            </w:r>
          </w:p>
        </w:tc>
        <w:tc>
          <w:tcPr>
            <w:tcW w:type="dxa" w:w="2608"/>
          </w:tcPr>
          <w:p>
            <w:r/>
            <w:r>
              <w:rPr>
                <w:sz w:val="20"/>
              </w:rPr>
              <w:t>39 000 RUB + from 9 000 RUB/month</w:t>
            </w:r>
          </w:p>
        </w:tc>
        <w:tc>
          <w:tcPr>
            <w:tcW w:type="dxa" w:w="4195"/>
          </w:tcPr>
          <w:p>
            <w:r/>
            <w:r>
              <w:rPr>
                <w:sz w:val="20"/>
              </w:rPr>
              <w:t>Inbound 24/7, rate brief, statuses, morning call-back, your number, per-call report.</w:t>
            </w:r>
          </w:p>
        </w:tc>
      </w:tr>
      <w:tr>
        <w:tc>
          <w:tcPr>
            <w:tcW w:type="dxa" w:w="2608"/>
          </w:tcPr>
          <w:p>
            <w:r/>
            <w:r>
              <w:rPr>
                <w:sz w:val="20"/>
              </w:rPr>
              <w:t>Business</w:t>
            </w:r>
          </w:p>
        </w:tc>
        <w:tc>
          <w:tcPr>
            <w:tcW w:type="dxa" w:w="2608"/>
          </w:tcPr>
          <w:p>
            <w:r/>
            <w:r>
              <w:rPr>
                <w:sz w:val="20"/>
              </w:rPr>
              <w:t>60 000 RUB + 18 000 RUB/month</w:t>
            </w:r>
          </w:p>
        </w:tc>
        <w:tc>
          <w:tcPr>
            <w:tcW w:type="dxa" w:w="4195"/>
          </w:tcPr>
          <w:p>
            <w:r/>
            <w:r>
              <w:rPr>
                <w:sz w:val="20"/>
              </w:rPr>
              <w:t>All above + CRM or spreadsheet integration, base re-activation with consent, monthly written review.</w:t>
            </w:r>
          </w:p>
        </w:tc>
      </w:tr>
      <w:tr>
        <w:tc>
          <w:tcPr>
            <w:tcW w:type="dxa" w:w="2608"/>
          </w:tcPr>
          <w:p>
            <w:r/>
            <w:r>
              <w:rPr>
                <w:sz w:val="20"/>
              </w:rPr>
              <w:t>Network</w:t>
            </w:r>
          </w:p>
        </w:tc>
        <w:tc>
          <w:tcPr>
            <w:tcW w:type="dxa" w:w="2608"/>
          </w:tcPr>
          <w:p>
            <w:r/>
            <w:r>
              <w:rPr>
                <w:sz w:val="20"/>
              </w:rPr>
              <w:t>from 120 000 RUB + from 35 000 RUB/month</w:t>
            </w:r>
          </w:p>
        </w:tc>
        <w:tc>
          <w:tcPr>
            <w:tcW w:type="dxa" w:w="4195"/>
          </w:tcPr>
          <w:p>
            <w:r/>
            <w:r>
              <w:rPr>
                <w:sz w:val="20"/>
              </w:rPr>
              <w:t>Separate scenarios per office and lane, manager quality control, call labelling and consent workflow (41-FZ).</w:t>
            </w:r>
          </w:p>
        </w:tc>
      </w:tr>
    </w:tbl>
    <w:p>
      <w:pPr>
        <w:spacing w:after="80"/>
      </w:pPr>
      <w:r>
        <w:rPr>
          <w:i w:val="0"/>
          <w:color w:val="66707D"/>
          <w:sz w:val="19"/>
        </w:rPr>
        <w:t>Call minutes are billed at the platform public rate, from 8 RUB/minute, for completed calls only. Volume can be measured during the trial; exact terms are fixed in the contract.</w:t>
      </w:r>
    </w:p>
    <w:p>
      <w:pPr>
        <w:spacing w:before="240" w:after="80"/>
      </w:pPr>
      <w:r>
        <w:rPr>
          <w:b/>
          <w:color w:val="C92A1A"/>
          <w:sz w:val="26"/>
        </w:rPr>
        <w:t>4. Timeline</w:t>
      </w:r>
    </w:p>
    <w:p>
      <w:pPr>
        <w:spacing w:after="80"/>
      </w:pPr>
      <w:r>
        <w:rPr>
          <w:i w:val="0"/>
          <w:sz w:val="21"/>
        </w:rPr>
        <w:t>First 14 days — a free trial on actual calls, with no call logs or recordings to send.</w:t>
      </w:r>
    </w:p>
    <w:p>
      <w:pPr>
        <w:spacing w:after="80"/>
      </w:pPr>
      <w:r>
        <w:rPr>
          <w:i w:val="0"/>
          <w:sz w:val="21"/>
        </w:rPr>
        <w:t>After the trial — a report, package scope, fixed price and a draft contract by email.</w:t>
      </w:r>
    </w:p>
    <w:p>
      <w:pPr>
        <w:spacing w:after="80"/>
      </w:pPr>
      <w:r>
        <w:rPr>
          <w:i w:val="0"/>
          <w:sz w:val="21"/>
        </w:rPr>
        <w:t>Next — vocabulary, your rates and lanes, and the brief template; testing on your real cases.</w:t>
      </w:r>
    </w:p>
    <w:p>
      <w:pPr>
        <w:spacing w:after="80"/>
      </w:pPr>
      <w:r>
        <w:rPr>
          <w:i w:val="0"/>
          <w:sz w:val="21"/>
        </w:rPr>
        <w:t>After the terms are agreed — full launch: number, call labelling and reports.</w:t>
      </w:r>
    </w:p>
    <w:p>
      <w:pPr>
        <w:spacing w:before="240" w:after="80"/>
      </w:pPr>
      <w:r>
        <w:rPr>
          <w:b/>
          <w:color w:val="C92A1A"/>
          <w:sz w:val="26"/>
        </w:rPr>
        <w:t>5. Payment</w:t>
      </w:r>
    </w:p>
    <w:tbl>
      <w:tblPr>
        <w:tblStyle w:val="TableGrid"/>
        <w:tblW w:type="auto" w:w="0"/>
        <w:tblLook w:firstColumn="1" w:firstRow="1" w:lastColumn="0" w:lastRow="0" w:noHBand="0" w:noVBand="1" w:val="04A0"/>
      </w:tblPr>
      <w:tblGrid>
        <w:gridCol w:w="5100"/>
        <w:gridCol w:w="5100"/>
      </w:tblGrid>
      <w:tr>
        <w:tc>
          <w:tcPr>
            <w:tcW w:type="dxa" w:w="2948"/>
          </w:tcPr>
          <w:p>
            <w:r/>
            <w:r>
              <w:rPr>
                <w:b/>
                <w:sz w:val="20"/>
              </w:rPr>
              <w:t>Option</w:t>
            </w:r>
          </w:p>
        </w:tc>
        <w:tc>
          <w:tcPr>
            <w:tcW w:type="dxa" w:w="6463"/>
          </w:tcPr>
          <w:p>
            <w:r/>
            <w:r>
              <w:rPr>
                <w:b/>
                <w:sz w:val="20"/>
              </w:rPr>
              <w:t>How it works</w:t>
            </w:r>
          </w:p>
        </w:tc>
      </w:tr>
      <w:tr>
        <w:tc>
          <w:tcPr>
            <w:tcW w:type="dxa" w:w="2948"/>
          </w:tcPr>
          <w:p>
            <w:r/>
            <w:r>
              <w:rPr>
                <w:sz w:val="20"/>
              </w:rPr>
              <w:t>RUB contract</w:t>
            </w:r>
          </w:p>
        </w:tc>
        <w:tc>
          <w:tcPr>
            <w:tcW w:type="dxa" w:w="6463"/>
          </w:tcPr>
          <w:p>
            <w:r/>
            <w:r>
              <w:rPr>
                <w:sz w:val="20"/>
              </w:rPr>
              <w:t>Invoice and closing documents for an individual entrepreneur or company. 50% prepayment; the balance is due against the acceptance document.</w:t>
            </w:r>
          </w:p>
        </w:tc>
      </w:tr>
      <w:tr>
        <w:tc>
          <w:tcPr>
            <w:tcW w:type="dxa" w:w="2948"/>
          </w:tcPr>
          <w:p>
            <w:r/>
            <w:r>
              <w:rPr>
                <w:sz w:val="20"/>
              </w:rPr>
              <w:t>Paid by your clients</w:t>
            </w:r>
          </w:p>
        </w:tc>
        <w:tc>
          <w:tcPr>
            <w:tcW w:type="dxa" w:w="6463"/>
          </w:tcPr>
          <w:p>
            <w:r/>
            <w:r>
              <w:rPr>
                <w:sz w:val="20"/>
              </w:rPr>
              <w:t>Adding the line to your price list and billing your client can be agreed before work starts.</w:t>
            </w:r>
          </w:p>
        </w:tc>
      </w:tr>
    </w:tbl>
    <w:p>
      <w:pPr>
        <w:spacing w:after="80"/>
      </w:pPr>
      <w:r>
        <w:rPr>
          <w:i w:val="0"/>
          <w:color w:val="66707D"/>
          <w:sz w:val="19"/>
        </w:rPr>
        <w:t>Crypto payments and transfers to a personal card are not accepted. Taxes follow your status and are set out in the contract.</w:t>
      </w:r>
    </w:p>
    <w:p>
      <w:pPr>
        <w:spacing w:before="240" w:after="80"/>
      </w:pPr>
      <w:r>
        <w:rPr>
          <w:b/>
          <w:color w:val="C92A1A"/>
          <w:sz w:val="26"/>
        </w:rPr>
        <w:t>6. What we need from you</w:t>
      </w:r>
    </w:p>
    <w:p>
      <w:pPr>
        <w:spacing w:after="80"/>
      </w:pPr>
      <w:r>
        <w:rPr>
          <w:i w:val="0"/>
          <w:sz w:val="21"/>
        </w:rPr>
        <w:t>A number for the trial or a call-forwarding setup · a contact person · your rates and rules for configuring the line after the trial.</w:t>
      </w:r>
    </w:p>
    <w:p>
      <w:pPr>
        <w:spacing w:before="240" w:after="80"/>
      </w:pPr>
      <w:r>
        <w:rPr>
          <w:b/>
          <w:color w:val="C92A1A"/>
          <w:sz w:val="26"/>
        </w:rPr>
        <w:t>7. Who we are</w:t>
      </w:r>
    </w:p>
    <w:p>
      <w:pPr>
        <w:spacing w:after="80"/>
      </w:pPr>
      <w:r>
        <w:rPr>
          <w:i w:val="0"/>
          <w:sz w:val="21"/>
        </w:rPr>
        <w:t>Individual entrepreneur Boyarintseva Kristina Dmitrievna · OGRNIP 317010500025941 · INN 010405724304</w:t>
      </w:r>
    </w:p>
    <w:p>
      <w:pPr>
        <w:spacing w:after="80"/>
      </w:pPr>
      <w:r>
        <w:rPr>
          <w:i w:val="0"/>
          <w:color w:val="66707D"/>
          <w:sz w:val="21"/>
        </w:rPr>
        <w:t>lz0.ru · +7 916 384-75-33 · t.me/alex5x9 · hello@lz0.ru</w:t>
      </w:r>
    </w:p>
    <w:p>
      <w:pPr>
        <w:spacing w:after="80"/>
      </w:pPr>
      <w:r>
        <w:rPr>
          <w:i/>
          <w:color w:val="66707D"/>
          <w:sz w:val="18"/>
        </w:rPr>
        <w:t>Figures in this proposal are a calculation, not a guarantee: the final scope and price are fixed in the contract after the audit.</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