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b/>
          <w:sz w:val="28"/>
        </w:rPr>
        <w:t xml:space="preserve">СУБЛИЦЕНЗИОННЫЙ ДОГОВОР № </w:t>
      </w:r>
      <w:r>
        <w:rPr>
          <w:rFonts w:ascii="Times New Roman" w:hAnsi="Times New Roman"/>
          <w:b/>
          <w:color w:val="B00000"/>
          <w:sz w:val="28"/>
        </w:rPr>
        <w:t>___/___</w:t>
      </w:r>
    </w:p>
    <w:p>
      <w:pPr>
        <w:spacing w:after="280"/>
        <w:jc w:val="center"/>
      </w:pPr>
      <w:r>
        <w:rPr>
          <w:rFonts w:ascii="Times New Roman" w:hAnsi="Times New Roman"/>
          <w:b/>
          <w:sz w:val="22"/>
        </w:rPr>
        <w:t>на право использования ИИ-платформы «5Plab AI» и оказание услуг по внедрению и сопровождению</w:t>
      </w:r>
    </w:p>
    <w:p>
      <w:pPr>
        <w:spacing w:after="40"/>
      </w:pPr>
      <w:r>
        <w:rPr>
          <w:rFonts w:ascii="Times New Roman" w:hAnsi="Times New Roman"/>
        </w:rPr>
        <w:t xml:space="preserve">г. </w:t>
      </w:r>
      <w:r>
        <w:rPr>
          <w:rFonts w:ascii="Times New Roman" w:hAnsi="Times New Roman"/>
          <w:b/>
          <w:color w:val="B00000"/>
        </w:rPr>
        <w:t>ГОРОД</w:t>
      </w:r>
      <w:r>
        <w:rPr>
          <w:rFonts w:ascii="Times New Roman" w:hAnsi="Times New Roman"/>
        </w:rPr>
        <w:t xml:space="preserve">                                                                                     «</w:t>
      </w:r>
      <w:r>
        <w:rPr>
          <w:rFonts w:ascii="Times New Roman" w:hAnsi="Times New Roman"/>
          <w:b/>
          <w:color w:val="B00000"/>
        </w:rPr>
        <w:t>___</w:t>
      </w:r>
      <w:r>
        <w:rPr>
          <w:rFonts w:ascii="Times New Roman" w:hAnsi="Times New Roman"/>
        </w:rPr>
        <w:t xml:space="preserve">» </w:t>
      </w:r>
      <w:r>
        <w:rPr>
          <w:rFonts w:ascii="Times New Roman" w:hAnsi="Times New Roman"/>
          <w:b/>
          <w:color w:val="B00000"/>
        </w:rPr>
        <w:t>________</w:t>
      </w:r>
      <w:r>
        <w:rPr>
          <w:rFonts w:ascii="Times New Roman" w:hAnsi="Times New Roman"/>
        </w:rPr>
        <w:t xml:space="preserve"> 20</w:t>
      </w:r>
      <w:r>
        <w:rPr>
          <w:rFonts w:ascii="Times New Roman" w:hAnsi="Times New Roman"/>
          <w:b/>
          <w:color w:val="B00000"/>
        </w:rPr>
        <w:t>___</w:t>
      </w:r>
      <w:r>
        <w:rPr>
          <w:rFonts w:ascii="Times New Roman" w:hAnsi="Times New Roman"/>
        </w:rPr>
        <w:t xml:space="preserve"> г.</w:t>
      </w:r>
    </w:p>
    <w:p>
      <w:pPr>
        <w:spacing w:after="120"/>
        <w:ind w:firstLine="454"/>
      </w:pPr>
      <w:r>
        <w:rPr>
          <w:rFonts w:ascii="Times New Roman" w:hAnsi="Times New Roman"/>
          <w:b/>
          <w:color w:val="B00000"/>
        </w:rPr>
        <w:t>ПОЛНОЕ НАИМЕНОВАНИЕ КЛИЕНТА</w:t>
      </w:r>
      <w:r>
        <w:rPr>
          <w:rFonts w:ascii="Times New Roman" w:hAnsi="Times New Roman"/>
        </w:rPr>
        <w:t xml:space="preserve"> (ОГРН </w:t>
      </w:r>
      <w:r>
        <w:rPr>
          <w:rFonts w:ascii="Times New Roman" w:hAnsi="Times New Roman"/>
          <w:b/>
          <w:color w:val="B00000"/>
        </w:rPr>
        <w:t>__________</w:t>
      </w:r>
      <w:r>
        <w:rPr>
          <w:rFonts w:ascii="Times New Roman" w:hAnsi="Times New Roman"/>
        </w:rPr>
        <w:t xml:space="preserve">, ИНН </w:t>
      </w:r>
      <w:r>
        <w:rPr>
          <w:rFonts w:ascii="Times New Roman" w:hAnsi="Times New Roman"/>
          <w:b/>
          <w:color w:val="B00000"/>
        </w:rPr>
        <w:t>__________</w:t>
      </w:r>
      <w:r>
        <w:rPr>
          <w:rFonts w:ascii="Times New Roman" w:hAnsi="Times New Roman"/>
        </w:rPr>
        <w:t xml:space="preserve">), именуемое в дальнейшем «Клиент», в лице </w:t>
      </w:r>
      <w:r>
        <w:rPr>
          <w:rFonts w:ascii="Times New Roman" w:hAnsi="Times New Roman"/>
          <w:b/>
          <w:color w:val="B00000"/>
        </w:rPr>
        <w:t>ДОЛЖНОСТЬ, ФИО</w:t>
      </w:r>
      <w:r>
        <w:rPr>
          <w:rFonts w:ascii="Times New Roman" w:hAnsi="Times New Roman"/>
        </w:rPr>
        <w:t xml:space="preserve">, действующего на основании </w:t>
      </w:r>
      <w:r>
        <w:rPr>
          <w:rFonts w:ascii="Times New Roman" w:hAnsi="Times New Roman"/>
          <w:b/>
          <w:color w:val="B00000"/>
        </w:rPr>
        <w:t>Устава / доверенности / записи в ЕГРИП</w:t>
      </w:r>
      <w:r>
        <w:rPr>
          <w:rFonts w:ascii="Times New Roman" w:hAnsi="Times New Roman"/>
        </w:rPr>
        <w:t>, с одной стороны, и</w:t>
      </w:r>
    </w:p>
    <w:p>
      <w:pPr>
        <w:spacing w:after="120"/>
        <w:ind w:firstLine="454"/>
      </w:pPr>
      <w:r>
        <w:rPr>
          <w:rFonts w:ascii="Times New Roman" w:hAnsi="Times New Roman"/>
        </w:rPr>
        <w:t xml:space="preserve">Индивидуальный предприниматель </w:t>
      </w:r>
      <w:r>
        <w:rPr>
          <w:rFonts w:ascii="Times New Roman" w:hAnsi="Times New Roman"/>
          <w:b/>
          <w:color w:val="B00000"/>
        </w:rPr>
        <w:t>ФИО ПАРТНЁРА</w:t>
      </w:r>
      <w:r>
        <w:rPr>
          <w:rFonts w:ascii="Times New Roman" w:hAnsi="Times New Roman"/>
        </w:rPr>
        <w:t xml:space="preserve"> (ОГРНИП </w:t>
      </w:r>
      <w:r>
        <w:rPr>
          <w:rFonts w:ascii="Times New Roman" w:hAnsi="Times New Roman"/>
          <w:b/>
          <w:color w:val="B00000"/>
        </w:rPr>
        <w:t>__________</w:t>
      </w:r>
      <w:r>
        <w:rPr>
          <w:rFonts w:ascii="Times New Roman" w:hAnsi="Times New Roman"/>
        </w:rPr>
        <w:t xml:space="preserve">, ИНН </w:t>
      </w:r>
      <w:r>
        <w:rPr>
          <w:rFonts w:ascii="Times New Roman" w:hAnsi="Times New Roman"/>
          <w:b/>
          <w:color w:val="B00000"/>
        </w:rPr>
        <w:t>__________</w:t>
      </w:r>
      <w:r>
        <w:rPr>
          <w:rFonts w:ascii="Times New Roman" w:hAnsi="Times New Roman"/>
        </w:rPr>
        <w:t>), именуемый в дальнейшем «Партнёр», действующий на основании записи в Едином государственном реестре индивидуальных предпринимателей, с другой стороны,</w:t>
      </w:r>
    </w:p>
    <w:p>
      <w:pPr>
        <w:spacing w:after="120"/>
        <w:ind w:firstLine="454"/>
      </w:pPr>
      <w:r>
        <w:rPr>
          <w:rFonts w:ascii="Times New Roman" w:hAnsi="Times New Roman"/>
        </w:rPr>
        <w:t>совместно именуемые «Стороны», заключили настоящий Договор о нижеследующем.</w:t>
      </w:r>
    </w:p>
    <w:p>
      <w:pPr>
        <w:keepNext/>
        <w:spacing w:before="240" w:after="120"/>
      </w:pPr>
      <w:r>
        <w:rPr>
          <w:rFonts w:ascii="Times New Roman" w:hAnsi="Times New Roman"/>
          <w:b/>
          <w:sz w:val="22"/>
        </w:rPr>
        <w:t>ТЕРМИНЫ И ОПРЕДЕЛЕНИЯ</w:t>
      </w:r>
    </w:p>
    <w:p>
      <w:pPr>
        <w:spacing w:after="120"/>
        <w:ind w:firstLine="454"/>
      </w:pPr>
      <w:r>
        <w:rPr>
          <w:rFonts w:ascii="Times New Roman" w:hAnsi="Times New Roman"/>
        </w:rPr>
        <w:t xml:space="preserve">1.1. </w:t>
      </w:r>
      <w:r>
        <w:rPr>
          <w:rFonts w:ascii="Times New Roman" w:hAnsi="Times New Roman"/>
          <w:b/>
        </w:rPr>
        <w:t>Платформа</w:t>
      </w:r>
      <w:r>
        <w:rPr>
          <w:rFonts w:ascii="Times New Roman" w:hAnsi="Times New Roman"/>
        </w:rPr>
        <w:t xml:space="preserve"> — программное обеспечение (ИИ-платформа) «5Plab AI», включая конструктор агентов, библиотеку скиллов, модуль речевой аналитики и связанные сервисы, право использования которого предоставляется по настоящему Договору.</w:t>
      </w:r>
    </w:p>
    <w:p>
      <w:pPr>
        <w:spacing w:after="120"/>
        <w:ind w:firstLine="454"/>
      </w:pPr>
      <w:r>
        <w:rPr>
          <w:rFonts w:ascii="Times New Roman" w:hAnsi="Times New Roman"/>
        </w:rPr>
        <w:t xml:space="preserve">1.2. </w:t>
      </w:r>
      <w:r>
        <w:rPr>
          <w:rFonts w:ascii="Times New Roman" w:hAnsi="Times New Roman"/>
          <w:b/>
        </w:rPr>
        <w:t>Правообладатель</w:t>
      </w:r>
      <w:r>
        <w:rPr>
          <w:rFonts w:ascii="Times New Roman" w:hAnsi="Times New Roman"/>
        </w:rPr>
        <w:t xml:space="preserve"> — лицо, которому принадлежат исключительные права на Платформу; наименование, ОГРН и ИНН указываются в Спецификации к настоящему Договору. В тексте настоящего Договора Правообладатель также именуется «Лицензиар».</w:t>
      </w:r>
    </w:p>
    <w:p>
      <w:pPr>
        <w:spacing w:after="120"/>
        <w:ind w:firstLine="454"/>
      </w:pPr>
      <w:r>
        <w:rPr>
          <w:rFonts w:ascii="Times New Roman" w:hAnsi="Times New Roman"/>
        </w:rPr>
        <w:t xml:space="preserve">1.3. </w:t>
      </w:r>
      <w:r>
        <w:rPr>
          <w:rFonts w:ascii="Times New Roman" w:hAnsi="Times New Roman"/>
          <w:b/>
        </w:rPr>
        <w:t>Агент</w:t>
      </w:r>
      <w:r>
        <w:rPr>
          <w:rFonts w:ascii="Times New Roman" w:hAnsi="Times New Roman"/>
        </w:rPr>
        <w:t xml:space="preserve"> — настроенный ИИ-оператор (голосовой ассистент), выполняющий разговоры с абонентами по Сценарию Клиента.</w:t>
      </w:r>
    </w:p>
    <w:p>
      <w:pPr>
        <w:spacing w:after="120"/>
        <w:ind w:firstLine="454"/>
      </w:pPr>
      <w:r>
        <w:rPr>
          <w:rFonts w:ascii="Times New Roman" w:hAnsi="Times New Roman"/>
        </w:rPr>
        <w:t xml:space="preserve">1.4. </w:t>
      </w:r>
      <w:r>
        <w:rPr>
          <w:rFonts w:ascii="Times New Roman" w:hAnsi="Times New Roman"/>
          <w:b/>
        </w:rPr>
        <w:t>Сценарий</w:t>
      </w:r>
      <w:r>
        <w:rPr>
          <w:rFonts w:ascii="Times New Roman" w:hAnsi="Times New Roman"/>
        </w:rPr>
        <w:t xml:space="preserve"> — правила, тексты, речевые модули, промпты и настройки, определяющие поведение Агента.</w:t>
      </w:r>
    </w:p>
    <w:p>
      <w:pPr>
        <w:spacing w:after="120"/>
        <w:ind w:firstLine="454"/>
      </w:pPr>
      <w:r>
        <w:rPr>
          <w:rFonts w:ascii="Times New Roman" w:hAnsi="Times New Roman"/>
        </w:rPr>
        <w:t xml:space="preserve">1.5. </w:t>
      </w:r>
      <w:r>
        <w:rPr>
          <w:rFonts w:ascii="Times New Roman" w:hAnsi="Times New Roman"/>
          <w:b/>
        </w:rPr>
        <w:t>Записи разговоров</w:t>
      </w:r>
      <w:r>
        <w:rPr>
          <w:rFonts w:ascii="Times New Roman" w:hAnsi="Times New Roman"/>
        </w:rPr>
        <w:t xml:space="preserve"> — аудиозаписи и результаты их автоматического распознавания (транскрибации), формируемые при работе Агента.</w:t>
      </w:r>
    </w:p>
    <w:p>
      <w:pPr>
        <w:spacing w:after="120"/>
        <w:ind w:firstLine="454"/>
      </w:pPr>
      <w:r>
        <w:rPr>
          <w:rFonts w:ascii="Times New Roman" w:hAnsi="Times New Roman"/>
        </w:rPr>
        <w:t xml:space="preserve">1.6. </w:t>
      </w:r>
      <w:r>
        <w:rPr>
          <w:rFonts w:ascii="Times New Roman" w:hAnsi="Times New Roman"/>
          <w:b/>
        </w:rPr>
        <w:t>Биллинг</w:t>
      </w:r>
      <w:r>
        <w:rPr>
          <w:rFonts w:ascii="Times New Roman" w:hAnsi="Times New Roman"/>
        </w:rPr>
        <w:t xml:space="preserve"> — система учёта объёма использования Платформы, данные которой являются основанием для расчётов.</w:t>
      </w:r>
    </w:p>
    <w:p>
      <w:pPr>
        <w:spacing w:after="120"/>
        <w:ind w:firstLine="454"/>
      </w:pPr>
      <w:r>
        <w:rPr>
          <w:rFonts w:ascii="Times New Roman" w:hAnsi="Times New Roman"/>
        </w:rPr>
        <w:t xml:space="preserve">1.7. </w:t>
      </w:r>
      <w:r>
        <w:rPr>
          <w:rFonts w:ascii="Times New Roman" w:hAnsi="Times New Roman"/>
          <w:b/>
        </w:rPr>
        <w:t>Расчётный период</w:t>
      </w:r>
      <w:r>
        <w:rPr>
          <w:rFonts w:ascii="Times New Roman" w:hAnsi="Times New Roman"/>
        </w:rPr>
        <w:t xml:space="preserve"> — календарный месяц.</w:t>
      </w:r>
    </w:p>
    <w:p>
      <w:pPr>
        <w:spacing w:after="120"/>
        <w:ind w:firstLine="454"/>
      </w:pPr>
      <w:r>
        <w:rPr>
          <w:rFonts w:ascii="Times New Roman" w:hAnsi="Times New Roman"/>
        </w:rPr>
        <w:t xml:space="preserve">1.8. </w:t>
      </w:r>
      <w:r>
        <w:rPr>
          <w:rFonts w:ascii="Times New Roman" w:hAnsi="Times New Roman"/>
          <w:b/>
        </w:rPr>
        <w:t>Тестовый период</w:t>
      </w:r>
      <w:r>
        <w:rPr>
          <w:rFonts w:ascii="Times New Roman" w:hAnsi="Times New Roman"/>
        </w:rPr>
        <w:t xml:space="preserve"> — 14 (четырнадцать) календарных дней с даты активации, если иной срок не указан в Спецификации.</w:t>
      </w:r>
    </w:p>
    <w:p>
      <w:pPr>
        <w:keepNext/>
        <w:spacing w:before="240" w:after="120"/>
      </w:pPr>
      <w:r>
        <w:rPr>
          <w:rFonts w:ascii="Times New Roman" w:hAnsi="Times New Roman"/>
          <w:b/>
          <w:sz w:val="22"/>
        </w:rPr>
        <w:t>1. ПРЕДМЕТ ДОГОВОРА</w:t>
      </w:r>
    </w:p>
    <w:p>
      <w:pPr>
        <w:spacing w:after="120"/>
        <w:ind w:firstLine="454"/>
      </w:pPr>
      <w:r>
        <w:rPr>
          <w:rFonts w:ascii="Times New Roman" w:hAnsi="Times New Roman"/>
        </w:rPr>
        <w:t>1.1. Партнёр предоставляет Клиенту на условиях простой (неисключительной) лицензии право использования Платформы (далее — Право использования) в составе и объёме, указанных в Спецификации (Приложение № 2), для собственных нужд Клиента.</w:t>
      </w:r>
    </w:p>
    <w:p>
      <w:pPr>
        <w:spacing w:after="120"/>
        <w:ind w:firstLine="454"/>
      </w:pPr>
      <w:r>
        <w:rPr>
          <w:rFonts w:ascii="Times New Roman" w:hAnsi="Times New Roman"/>
        </w:rPr>
        <w:t>1.2. Правообладателем Платформы является Правообладатель, указанный в пункте 1.2 раздела «Термины и определения». Партнёр не является правообладателем Платформы и предоставляет Право использования на основании Партнёрского лицензионного договора № 12-09/26-573 от 12 сентября 2026 г. (далее — Партнёрский договор).</w:t>
      </w:r>
    </w:p>
    <w:p>
      <w:pPr>
        <w:spacing w:after="120"/>
        <w:ind w:firstLine="454"/>
      </w:pPr>
      <w:r>
        <w:rPr>
          <w:rFonts w:ascii="Times New Roman" w:hAnsi="Times New Roman"/>
        </w:rPr>
        <w:t>1.3. Партнёр оказывает Клиенту от своего имени и за свой счёт услуги по внедрению, интеграции, настройке, обучению работников Клиента и сопровождению (далее — Услуги). Состав, объём и стоимость Услуг определяются Спецификацией. Стоимость Услуг определяется Партнёром самостоятельно и настоящим Договором не ограничивается.</w:t>
      </w:r>
    </w:p>
    <w:p>
      <w:pPr>
        <w:spacing w:after="120"/>
        <w:ind w:firstLine="454"/>
      </w:pPr>
      <w:r>
        <w:rPr>
          <w:rFonts w:ascii="Times New Roman" w:hAnsi="Times New Roman"/>
        </w:rPr>
        <w:t>1.4. Дальнейшее сублицензирование Права использования не допускается. Права, прямо не предоставленные настоящим Договором и Спецификацией, Клиенту не предоставляются. Исключительные права на Платформу Клиенту не передаются.</w:t>
      </w:r>
    </w:p>
    <w:p>
      <w:pPr>
        <w:spacing w:after="120"/>
        <w:ind w:firstLine="454"/>
      </w:pPr>
      <w:r>
        <w:rPr>
          <w:rFonts w:ascii="Times New Roman" w:hAnsi="Times New Roman"/>
        </w:rPr>
        <w:t xml:space="preserve">1.5. Право использования предоставляется для </w:t>
      </w:r>
      <w:r>
        <w:rPr>
          <w:rFonts w:ascii="Times New Roman" w:hAnsi="Times New Roman"/>
          <w:b/>
          <w:color w:val="B00000"/>
        </w:rPr>
        <w:t>одной учётной записи Клиента / иного числа, указанного в Спецификации</w:t>
      </w:r>
      <w:r>
        <w:rPr>
          <w:rFonts w:ascii="Times New Roman" w:hAnsi="Times New Roman"/>
        </w:rPr>
        <w:t>.</w:t>
      </w:r>
    </w:p>
    <w:p>
      <w:pPr>
        <w:keepNext/>
        <w:spacing w:before="240" w:after="120"/>
      </w:pPr>
      <w:r>
        <w:rPr>
          <w:rFonts w:ascii="Times New Roman" w:hAnsi="Times New Roman"/>
          <w:b/>
          <w:sz w:val="22"/>
        </w:rPr>
        <w:t>2. ПРАВА И ОБЯЗАННОСТИ СТОРОН</w:t>
      </w:r>
    </w:p>
    <w:p>
      <w:pPr>
        <w:spacing w:after="120"/>
        <w:ind w:firstLine="454"/>
      </w:pPr>
      <w:r>
        <w:rPr>
          <w:rFonts w:ascii="Times New Roman" w:hAnsi="Times New Roman"/>
        </w:rPr>
        <w:t>2.1. Партнёр обязуется:</w:t>
      </w:r>
    </w:p>
    <w:p>
      <w:pPr>
        <w:pStyle w:val="ListBullet"/>
        <w:spacing w:after="60"/>
        <w:ind w:left="454"/>
        <w:jc w:val="both"/>
      </w:pPr>
      <w:r>
        <w:rPr>
          <w:rFonts w:ascii="Times New Roman" w:hAnsi="Times New Roman"/>
        </w:rPr>
        <w:t>предоставить Право использования и доступ к Платформе в объёме Спецификации;</w:t>
      </w:r>
    </w:p>
    <w:p>
      <w:pPr>
        <w:pStyle w:val="ListBullet"/>
        <w:spacing w:after="60"/>
        <w:ind w:left="454"/>
        <w:jc w:val="both"/>
      </w:pPr>
      <w:r>
        <w:rPr>
          <w:rFonts w:ascii="Times New Roman" w:hAnsi="Times New Roman"/>
        </w:rPr>
        <w:t>оказать Услуги в согласованные сроки и с согласованным качеством;</w:t>
      </w:r>
    </w:p>
    <w:p>
      <w:pPr>
        <w:pStyle w:val="ListBullet"/>
        <w:spacing w:after="60"/>
        <w:ind w:left="454"/>
        <w:jc w:val="both"/>
      </w:pPr>
      <w:r>
        <w:rPr>
          <w:rFonts w:ascii="Times New Roman" w:hAnsi="Times New Roman"/>
        </w:rPr>
        <w:t>являться первой линией поддержки Клиента в рабочие дни с 09:00 до 18:00 по московскому времени, принимать и обрабатывать обращения Клиента;</w:t>
      </w:r>
    </w:p>
    <w:p>
      <w:pPr>
        <w:pStyle w:val="ListBullet"/>
        <w:spacing w:after="60"/>
        <w:ind w:left="454"/>
        <w:jc w:val="both"/>
      </w:pPr>
      <w:r>
        <w:rPr>
          <w:rFonts w:ascii="Times New Roman" w:hAnsi="Times New Roman"/>
        </w:rPr>
        <w:t>передавать обращения, требующие участия Правообладателя, и контролировать их исполнение;</w:t>
      </w:r>
    </w:p>
    <w:p>
      <w:pPr>
        <w:pStyle w:val="ListBullet"/>
        <w:spacing w:after="60"/>
        <w:ind w:left="454"/>
        <w:jc w:val="both"/>
      </w:pPr>
      <w:r>
        <w:rPr>
          <w:rFonts w:ascii="Times New Roman" w:hAnsi="Times New Roman"/>
        </w:rPr>
        <w:t>уведомлять Клиента о приближении к 80 % согласованного объёма и о приостановлении доступа;</w:t>
      </w:r>
    </w:p>
    <w:p>
      <w:pPr>
        <w:pStyle w:val="ListBullet"/>
        <w:spacing w:after="60"/>
        <w:ind w:left="454"/>
        <w:jc w:val="both"/>
      </w:pPr>
      <w:r>
        <w:rPr>
          <w:rFonts w:ascii="Times New Roman" w:hAnsi="Times New Roman"/>
        </w:rPr>
        <w:t>обеспечивать конфиденциальность информации Клиента в соответствии с разделом 5 настоящего Договора.</w:t>
      </w:r>
    </w:p>
    <w:p>
      <w:pPr>
        <w:spacing w:after="120"/>
        <w:ind w:firstLine="454"/>
      </w:pPr>
      <w:r>
        <w:rPr>
          <w:rFonts w:ascii="Times New Roman" w:hAnsi="Times New Roman"/>
        </w:rPr>
        <w:t>2.2. Клиент обязуется:</w:t>
      </w:r>
    </w:p>
    <w:p>
      <w:pPr>
        <w:pStyle w:val="ListBullet"/>
        <w:spacing w:after="60"/>
        <w:ind w:left="454"/>
        <w:jc w:val="both"/>
      </w:pPr>
      <w:r>
        <w:rPr>
          <w:rFonts w:ascii="Times New Roman" w:hAnsi="Times New Roman"/>
        </w:rPr>
        <w:t>предоставить Партнёру материалы, необходимые для подготовки Сценариев (прайс, условия работы, типовые вопросы, записи разговоров);</w:t>
      </w:r>
    </w:p>
    <w:p>
      <w:pPr>
        <w:pStyle w:val="ListBullet"/>
        <w:spacing w:after="60"/>
        <w:ind w:left="454"/>
        <w:jc w:val="both"/>
      </w:pPr>
      <w:r>
        <w:rPr>
          <w:rFonts w:ascii="Times New Roman" w:hAnsi="Times New Roman"/>
        </w:rPr>
        <w:t>обеспечить наличие правовых оснований обработки персональных данных, обзвона и записи разговоров в соответствии с пунктом 2.3;</w:t>
      </w:r>
    </w:p>
    <w:p>
      <w:pPr>
        <w:pStyle w:val="ListBullet"/>
        <w:spacing w:after="60"/>
        <w:ind w:left="454"/>
        <w:jc w:val="both"/>
      </w:pPr>
      <w:r>
        <w:rPr>
          <w:rFonts w:ascii="Times New Roman" w:hAnsi="Times New Roman"/>
        </w:rPr>
        <w:t>обеспечить маркировку исходящих вызовов в соответствии с требованиями законодательства либо поручить это Партнёру отдельным соглашением;</w:t>
      </w:r>
    </w:p>
    <w:p>
      <w:pPr>
        <w:pStyle w:val="ListBullet"/>
        <w:spacing w:after="60"/>
        <w:ind w:left="454"/>
        <w:jc w:val="both"/>
      </w:pPr>
      <w:r>
        <w:rPr>
          <w:rFonts w:ascii="Times New Roman" w:hAnsi="Times New Roman"/>
        </w:rPr>
        <w:t>предоставлять по запросу Партнёра документы и подтверждения, предусмотренные настоящим Договором, в течение 3 (трёх) рабочих дней;</w:t>
      </w:r>
    </w:p>
    <w:p>
      <w:pPr>
        <w:pStyle w:val="ListBullet"/>
        <w:spacing w:after="60"/>
        <w:ind w:left="454"/>
        <w:jc w:val="both"/>
      </w:pPr>
      <w:r>
        <w:rPr>
          <w:rFonts w:ascii="Times New Roman" w:hAnsi="Times New Roman"/>
        </w:rPr>
        <w:t>своевременно оплачивать Право использования и Услуги.</w:t>
      </w:r>
    </w:p>
    <w:p>
      <w:pPr>
        <w:spacing w:after="120"/>
        <w:ind w:firstLine="454"/>
      </w:pPr>
      <w:r>
        <w:rPr>
          <w:rFonts w:ascii="Times New Roman" w:hAnsi="Times New Roman"/>
        </w:rPr>
        <w:t>2.3. Клиент заверяет и гарантирует, что на дату подписания и в течение срока действия настоящего Договора:</w:t>
      </w:r>
    </w:p>
    <w:p>
      <w:pPr>
        <w:spacing w:after="120"/>
        <w:ind w:firstLine="0"/>
      </w:pPr>
      <w:r>
        <w:rPr>
          <w:rFonts w:ascii="Times New Roman" w:hAnsi="Times New Roman"/>
        </w:rPr>
        <w:t>2.3.1. все клиентские базы, сценарии, коммерческие предложения, рекламные утверждения и иные материалы, передаваемые Партнёру, получены и используются законно, не нарушают прав третьих лиц и требований законодательства;</w:t>
      </w:r>
    </w:p>
    <w:p>
      <w:pPr>
        <w:spacing w:after="120"/>
        <w:ind w:firstLine="0"/>
      </w:pPr>
      <w:r>
        <w:rPr>
          <w:rFonts w:ascii="Times New Roman" w:hAnsi="Times New Roman"/>
        </w:rPr>
        <w:t>2.3.2. получены все необходимые согласия субъектов персональных данных, в том числе согласие абонентов на получение рекламы по сетям связи (статья 18 Федерального закона от 13.03.2006 № 38-ФЗ «О рекламе»), а также имеются правовые основания для записи и распознавания телефонных разговоров;</w:t>
      </w:r>
    </w:p>
    <w:p>
      <w:pPr>
        <w:spacing w:after="120"/>
        <w:ind w:firstLine="0"/>
      </w:pPr>
      <w:r>
        <w:rPr>
          <w:rFonts w:ascii="Times New Roman" w:hAnsi="Times New Roman"/>
        </w:rPr>
        <w:t>2.3.3. соблюдаются требования Федерального закона от 01.04.2025 № 41-ФЗ и Постановления Правительства РФ № 1300 о маркировке вызовов и массовых рассылках;</w:t>
      </w:r>
    </w:p>
    <w:p>
      <w:pPr>
        <w:spacing w:after="120"/>
        <w:ind w:firstLine="0"/>
      </w:pPr>
      <w:r>
        <w:rPr>
          <w:rFonts w:ascii="Times New Roman" w:hAnsi="Times New Roman"/>
        </w:rPr>
        <w:t>2.3.4. Партнёру не передаются специальные категории персональных данных и данные, обработка которых не требуется для целей, указанных в Приложении № 1;</w:t>
      </w:r>
    </w:p>
    <w:p>
      <w:pPr>
        <w:spacing w:after="120"/>
        <w:ind w:firstLine="0"/>
      </w:pPr>
      <w:r>
        <w:rPr>
          <w:rFonts w:ascii="Times New Roman" w:hAnsi="Times New Roman"/>
        </w:rPr>
        <w:t>2.3.5. Клиент как оператор персональных данных исполнил обязанность по уведомлению уполномоченного органа о начале обработки персональных данных (если такая обязанность применима);</w:t>
      </w:r>
    </w:p>
    <w:p>
      <w:pPr>
        <w:spacing w:after="120"/>
        <w:ind w:firstLine="0"/>
      </w:pPr>
      <w:r>
        <w:rPr>
          <w:rFonts w:ascii="Times New Roman" w:hAnsi="Times New Roman"/>
        </w:rPr>
        <w:t>2.3.6. документы, подтверждающие правовые основания обработки и обзвона, хранятся Клиентом в течение срока действия настоящего Договора и 5 (пяти) лет после его прекращения и предоставляются Партнёру по запросу.</w:t>
      </w:r>
    </w:p>
    <w:p>
      <w:pPr>
        <w:spacing w:after="120"/>
        <w:ind w:firstLine="454"/>
      </w:pPr>
      <w:r>
        <w:rPr>
          <w:rFonts w:ascii="Times New Roman" w:hAnsi="Times New Roman"/>
        </w:rPr>
        <w:t>2.4. Клиент несёт ответственность за законность клиентских баз, сценариев, коммерческих предложений, рекламных утверждений и правовых оснований обработки персональных данных. Партнёр и Правообладатель не проверяют указанные материалы на соответствие требованиям законодательства и не несут ответственности за их содержание.</w:t>
      </w:r>
    </w:p>
    <w:p>
      <w:pPr>
        <w:keepNext/>
        <w:spacing w:before="240" w:after="120"/>
      </w:pPr>
      <w:r>
        <w:rPr>
          <w:rFonts w:ascii="Times New Roman" w:hAnsi="Times New Roman"/>
          <w:b/>
          <w:sz w:val="22"/>
        </w:rPr>
        <w:t>3. ПОРЯДОК ПРЕДОСТАВЛЕНИЯ ПРАВА ИСПОЛЬЗОВАНИЯ И ОКАЗАНИЯ УСЛУГ</w:t>
      </w:r>
    </w:p>
    <w:p>
      <w:pPr>
        <w:spacing w:after="120"/>
        <w:ind w:firstLine="454"/>
      </w:pPr>
      <w:r>
        <w:rPr>
          <w:rFonts w:ascii="Times New Roman" w:hAnsi="Times New Roman"/>
        </w:rPr>
        <w:t xml:space="preserve">3.1. Активация доступа производится в течение </w:t>
      </w:r>
      <w:r>
        <w:rPr>
          <w:rFonts w:ascii="Times New Roman" w:hAnsi="Times New Roman"/>
          <w:b/>
          <w:color w:val="B00000"/>
        </w:rPr>
        <w:t>___</w:t>
      </w:r>
      <w:r>
        <w:rPr>
          <w:rFonts w:ascii="Times New Roman" w:hAnsi="Times New Roman"/>
        </w:rPr>
        <w:t xml:space="preserve"> рабочих дней после выполнения Клиентом всех условий: подписания настоящего Договора и Спецификации, предоставления подтверждений по Приложению № 3, поступления авансового платежа (пункт 8.4).</w:t>
      </w:r>
    </w:p>
    <w:p>
      <w:pPr>
        <w:spacing w:after="120"/>
        <w:ind w:firstLine="454"/>
      </w:pPr>
      <w:r>
        <w:rPr>
          <w:rFonts w:ascii="Times New Roman" w:hAnsi="Times New Roman"/>
        </w:rPr>
        <w:t>3.2. Партнёр вправе приостановить активацию или обработку до предоставления подтверждений, предусмотренных Приложением № 3. Такое приостановление не является нарушением настоящего Договора.</w:t>
      </w:r>
    </w:p>
    <w:p>
      <w:pPr>
        <w:spacing w:after="120"/>
        <w:ind w:firstLine="454"/>
      </w:pPr>
      <w:r>
        <w:rPr>
          <w:rFonts w:ascii="Times New Roman" w:hAnsi="Times New Roman"/>
        </w:rPr>
        <w:t>3.3. Приёмка Услуг производится ежемесячно на основании акта. Возражения по акту заявляются в течение 5 (пяти) рабочих дней с даты его получения; при отсутствии возражений Услуги считаются принятыми в полном объёме без замечаний.</w:t>
      </w:r>
    </w:p>
    <w:p>
      <w:pPr>
        <w:spacing w:after="120"/>
        <w:ind w:firstLine="454"/>
      </w:pPr>
      <w:r>
        <w:rPr>
          <w:rFonts w:ascii="Times New Roman" w:hAnsi="Times New Roman"/>
        </w:rPr>
        <w:t xml:space="preserve">3.4. </w:t>
      </w:r>
      <w:r>
        <w:rPr>
          <w:rFonts w:ascii="Times New Roman" w:hAnsi="Times New Roman"/>
          <w:b/>
        </w:rPr>
        <w:t>Тестовый период.</w:t>
      </w:r>
      <w:r>
        <w:rPr>
          <w:rFonts w:ascii="Times New Roman" w:hAnsi="Times New Roman"/>
        </w:rPr>
        <w:t xml:space="preserve"> В течение Тестового периода Стороны проверяют соответствие работы Агента критериям качества, указанным в Спецификации. Если критерии не выполняются, Клиент вправе отказаться от Договора, направив письменное уведомление в течение Тестового периода. В этом случае Клиент оплачивает фактически потреблённый объём и фактически оказанные Услуги; иные платежи не начисляются.</w:t>
      </w:r>
    </w:p>
    <w:p>
      <w:pPr>
        <w:keepNext/>
        <w:spacing w:before="240" w:after="120"/>
      </w:pPr>
      <w:r>
        <w:rPr>
          <w:rFonts w:ascii="Times New Roman" w:hAnsi="Times New Roman"/>
          <w:b/>
          <w:sz w:val="22"/>
        </w:rPr>
        <w:t>4. ОГРАНИЧЕНИЯ ИСПОЛЬЗОВАНИЯ ПЛАТФОРМЫ</w:t>
      </w:r>
    </w:p>
    <w:p>
      <w:pPr>
        <w:spacing w:after="120"/>
        <w:ind w:firstLine="454"/>
      </w:pPr>
      <w:r>
        <w:rPr>
          <w:rFonts w:ascii="Times New Roman" w:hAnsi="Times New Roman"/>
        </w:rPr>
        <w:t>4.1. Клиент не вправе:</w:t>
      </w:r>
    </w:p>
    <w:p>
      <w:pPr>
        <w:pStyle w:val="ListBullet"/>
        <w:spacing w:after="60"/>
        <w:ind w:left="454"/>
        <w:jc w:val="both"/>
      </w:pPr>
      <w:r>
        <w:rPr>
          <w:rFonts w:ascii="Times New Roman" w:hAnsi="Times New Roman"/>
        </w:rPr>
        <w:t>сублицензировать Право использования, передавать доступ к Платформе или её отдельным функциям третьим лицам, включая аффилированные лица, за исключением работников Клиента, которым доступ необходим для исполнения трудовых обязанностей;</w:t>
      </w:r>
    </w:p>
    <w:p>
      <w:pPr>
        <w:pStyle w:val="ListBullet"/>
        <w:spacing w:after="60"/>
        <w:ind w:left="454"/>
        <w:jc w:val="both"/>
      </w:pPr>
      <w:r>
        <w:rPr>
          <w:rFonts w:ascii="Times New Roman" w:hAnsi="Times New Roman"/>
        </w:rPr>
        <w:t>копировать, модифицировать, декомпилировать, дизассемблировать Платформу, извлекать её исходный код, обходить технические ограничения;</w:t>
      </w:r>
    </w:p>
    <w:p>
      <w:pPr>
        <w:pStyle w:val="ListBullet"/>
        <w:spacing w:after="60"/>
        <w:ind w:left="454"/>
        <w:jc w:val="both"/>
      </w:pPr>
      <w:r>
        <w:rPr>
          <w:rFonts w:ascii="Times New Roman" w:hAnsi="Times New Roman"/>
        </w:rPr>
        <w:t>копировать логику работы Агентов, сценарные библиотеки, промпты и методики Правообладателя;</w:t>
      </w:r>
    </w:p>
    <w:p>
      <w:pPr>
        <w:pStyle w:val="ListBullet"/>
        <w:spacing w:after="60"/>
        <w:ind w:left="454"/>
        <w:jc w:val="both"/>
      </w:pPr>
      <w:r>
        <w:rPr>
          <w:rFonts w:ascii="Times New Roman" w:hAnsi="Times New Roman"/>
        </w:rPr>
        <w:t>использовать Платформу и полученные результаты для создания конкурирующего программного продукта, а также для обучения конкурирующих моделей;</w:t>
      </w:r>
    </w:p>
    <w:p>
      <w:pPr>
        <w:pStyle w:val="ListBullet"/>
        <w:spacing w:after="60"/>
        <w:ind w:left="454"/>
        <w:jc w:val="both"/>
      </w:pPr>
      <w:r>
        <w:rPr>
          <w:rFonts w:ascii="Times New Roman" w:hAnsi="Times New Roman"/>
        </w:rPr>
        <w:t>предоставлять доступ к Платформе лицам, не являющимся работниками Клиента;</w:t>
      </w:r>
    </w:p>
    <w:p>
      <w:pPr>
        <w:pStyle w:val="ListBullet"/>
        <w:spacing w:after="60"/>
        <w:ind w:left="454"/>
        <w:jc w:val="both"/>
      </w:pPr>
      <w:r>
        <w:rPr>
          <w:rFonts w:ascii="Times New Roman" w:hAnsi="Times New Roman"/>
        </w:rPr>
        <w:t>использовать Платформу для целей, противоречащих законодательству Российской Федерации.</w:t>
      </w:r>
    </w:p>
    <w:p>
      <w:pPr>
        <w:spacing w:after="120"/>
        <w:ind w:firstLine="454"/>
      </w:pPr>
      <w:r>
        <w:rPr>
          <w:rFonts w:ascii="Times New Roman" w:hAnsi="Times New Roman"/>
        </w:rPr>
        <w:t>4.2. Работники Клиента используют индивидуальные учётные записи. Передача учётных данных третьим лицам, включая других работников, не допускается. Обо всех инцидентах информационной безопасности, связанных с доступом к Платформе, Клиент уведомляет Партнёра не позднее следующего рабочего дня.</w:t>
      </w:r>
    </w:p>
    <w:p>
      <w:pPr>
        <w:spacing w:after="120"/>
        <w:ind w:firstLine="454"/>
      </w:pPr>
      <w:r>
        <w:rPr>
          <w:rFonts w:ascii="Times New Roman" w:hAnsi="Times New Roman"/>
        </w:rPr>
        <w:t>4.3. Клиент использует обозначения Правообладателя исключительно для целей исполнения настоящего Договора и не вправе представлять Платформу как собственную разработку либо как разработку Партнёра.</w:t>
      </w:r>
    </w:p>
    <w:p>
      <w:pPr>
        <w:spacing w:after="120"/>
        <w:ind w:firstLine="454"/>
      </w:pPr>
      <w:r>
        <w:rPr>
          <w:rFonts w:ascii="Times New Roman" w:hAnsi="Times New Roman"/>
        </w:rPr>
        <w:t xml:space="preserve">4.4. </w:t>
      </w:r>
      <w:r>
        <w:rPr>
          <w:rFonts w:ascii="Times New Roman" w:hAnsi="Times New Roman"/>
          <w:b/>
        </w:rPr>
        <w:t>Возмещение потерь.</w:t>
      </w:r>
      <w:r>
        <w:rPr>
          <w:rFonts w:ascii="Times New Roman" w:hAnsi="Times New Roman"/>
        </w:rPr>
        <w:t xml:space="preserve"> Клиент возмещает Партнёру документально подтверждённые убытки, включая суммы штрафов, санкций и расходов на урегулирование, предъявленных Партнёру Правообладателем, субъектами персональных данных, третьими лицами или государственными органами, если такие требования вызваны нарушением Клиентом пунктов 2.3, раздела 4 или раздела 5 настоящего Договора.</w:t>
      </w:r>
    </w:p>
    <w:p>
      <w:pPr>
        <w:keepNext/>
        <w:spacing w:before="240" w:after="120"/>
      </w:pPr>
      <w:r>
        <w:rPr>
          <w:rFonts w:ascii="Times New Roman" w:hAnsi="Times New Roman"/>
          <w:b/>
          <w:sz w:val="22"/>
        </w:rPr>
        <w:t>5. КОНФИДЕНЦИАЛЬНОСТЬ</w:t>
      </w:r>
    </w:p>
    <w:p>
      <w:pPr>
        <w:spacing w:after="120"/>
        <w:ind w:firstLine="454"/>
      </w:pPr>
      <w:r>
        <w:rPr>
          <w:rFonts w:ascii="Times New Roman" w:hAnsi="Times New Roman"/>
        </w:rPr>
        <w:t>5.1. Конфиденциальной является информация, полученная Стороной в связи с исполнением настоящего Договора и не являющаяся общедоступной, в том числе техническое устройство и настройки Платформы, содержание Сценариев, Записи разговоров, сведения о клиентах Сторон, коммерческие условия настоящего Договора.</w:t>
      </w:r>
    </w:p>
    <w:p>
      <w:pPr>
        <w:spacing w:after="120"/>
        <w:ind w:firstLine="454"/>
      </w:pPr>
      <w:r>
        <w:rPr>
          <w:rFonts w:ascii="Times New Roman" w:hAnsi="Times New Roman"/>
        </w:rPr>
        <w:t>5.2. Стороны не раскрывают конфиденциальную информацию третьим лицам и не используют её вне целей настоящего Договора. Раскрытие допускается работникам и подрядчикам под теми же обязательствами, а также по требованию государственного органа в установленном законом порядке.</w:t>
      </w:r>
    </w:p>
    <w:p>
      <w:pPr>
        <w:spacing w:after="120"/>
        <w:ind w:firstLine="454"/>
      </w:pPr>
      <w:r>
        <w:rPr>
          <w:rFonts w:ascii="Times New Roman" w:hAnsi="Times New Roman"/>
        </w:rPr>
        <w:t>5.3. Обязательства по конфиденциальности действуют в течение срока настоящего Договора и 3 (трёх) лет после его прекращения.</w:t>
      </w:r>
    </w:p>
    <w:p>
      <w:pPr>
        <w:keepNext/>
        <w:spacing w:before="240" w:after="120"/>
      </w:pPr>
      <w:r>
        <w:rPr>
          <w:rFonts w:ascii="Times New Roman" w:hAnsi="Times New Roman"/>
          <w:b/>
          <w:sz w:val="22"/>
        </w:rPr>
        <w:t>6. ПРИОСТАНОВЛЕНИЕ ДОСТУПА</w:t>
      </w:r>
    </w:p>
    <w:p>
      <w:pPr>
        <w:spacing w:after="120"/>
        <w:ind w:firstLine="454"/>
      </w:pPr>
      <w:r>
        <w:rPr>
          <w:rFonts w:ascii="Times New Roman" w:hAnsi="Times New Roman"/>
        </w:rPr>
        <w:t>6.1. Партнёр вправе приостановить предоставление доступа к Платформе (полностью или частично) в случаях:</w:t>
      </w:r>
    </w:p>
    <w:p>
      <w:pPr>
        <w:pStyle w:val="ListBullet"/>
        <w:spacing w:after="60"/>
        <w:ind w:left="454"/>
        <w:jc w:val="both"/>
      </w:pPr>
      <w:r>
        <w:rPr>
          <w:rFonts w:ascii="Times New Roman" w:hAnsi="Times New Roman"/>
        </w:rPr>
        <w:t>просрочки оплаты более чем на 5 (пять) рабочих дней;</w:t>
      </w:r>
    </w:p>
    <w:p>
      <w:pPr>
        <w:pStyle w:val="ListBullet"/>
        <w:spacing w:after="60"/>
        <w:ind w:left="454"/>
        <w:jc w:val="both"/>
      </w:pPr>
      <w:r>
        <w:rPr>
          <w:rFonts w:ascii="Times New Roman" w:hAnsi="Times New Roman"/>
        </w:rPr>
        <w:t>нарушения Клиентом раздела 4 настоящего Договора;</w:t>
      </w:r>
    </w:p>
    <w:p>
      <w:pPr>
        <w:pStyle w:val="ListBullet"/>
        <w:spacing w:after="60"/>
        <w:ind w:left="454"/>
        <w:jc w:val="both"/>
      </w:pPr>
      <w:r>
        <w:rPr>
          <w:rFonts w:ascii="Times New Roman" w:hAnsi="Times New Roman"/>
        </w:rPr>
        <w:t>возникновения угрозы информационной безопасности Платформы или данным других клиентов Правообладателя;</w:t>
      </w:r>
    </w:p>
    <w:p>
      <w:pPr>
        <w:pStyle w:val="ListBullet"/>
        <w:spacing w:after="60"/>
        <w:ind w:left="454"/>
        <w:jc w:val="both"/>
      </w:pPr>
      <w:r>
        <w:rPr>
          <w:rFonts w:ascii="Times New Roman" w:hAnsi="Times New Roman"/>
        </w:rPr>
        <w:t>нарушения Клиентом требований законодательства или прав третьих лиц при использовании Платформы;</w:t>
      </w:r>
    </w:p>
    <w:p>
      <w:pPr>
        <w:pStyle w:val="ListBullet"/>
        <w:spacing w:after="60"/>
        <w:ind w:left="454"/>
        <w:jc w:val="both"/>
      </w:pPr>
      <w:r>
        <w:rPr>
          <w:rFonts w:ascii="Times New Roman" w:hAnsi="Times New Roman"/>
        </w:rPr>
        <w:t>непредоставления подтверждений, предусмотренных пунктом 2.3 и Приложением № 3;</w:t>
      </w:r>
    </w:p>
    <w:p>
      <w:pPr>
        <w:pStyle w:val="ListBullet"/>
        <w:spacing w:after="60"/>
        <w:ind w:left="454"/>
        <w:jc w:val="both"/>
      </w:pPr>
      <w:r>
        <w:rPr>
          <w:rFonts w:ascii="Times New Roman" w:hAnsi="Times New Roman"/>
        </w:rPr>
        <w:t>приостановления предоставления прав использования Партнёру со стороны Правообладателя по основаниям, связанным с Клиентом.</w:t>
      </w:r>
    </w:p>
    <w:p>
      <w:pPr>
        <w:spacing w:after="120"/>
        <w:ind w:firstLine="454"/>
      </w:pPr>
      <w:r>
        <w:rPr>
          <w:rFonts w:ascii="Times New Roman" w:hAnsi="Times New Roman"/>
        </w:rPr>
        <w:t>6.2. Приостановление доступа по основаниям пункта 6.1 не является нарушением настоящего Договора и не влечёт ответственности Партнёра. На период приостановления тарификация объёма не производится. Возобновление доступа производится в течение 1 (одного) рабочего дня после устранения основания.</w:t>
      </w:r>
    </w:p>
    <w:p>
      <w:pPr>
        <w:keepNext/>
        <w:spacing w:before="240" w:after="120"/>
      </w:pPr>
      <w:r>
        <w:rPr>
          <w:rFonts w:ascii="Times New Roman" w:hAnsi="Times New Roman"/>
          <w:b/>
          <w:sz w:val="22"/>
        </w:rPr>
        <w:t>7. ОТСУТСТВИЕ ГАРАНТИЙ. ОГРАНИЧЕНИЕ ОТВЕТСТВЕННОСТИ</w:t>
      </w:r>
    </w:p>
    <w:p>
      <w:pPr>
        <w:spacing w:after="120"/>
        <w:ind w:firstLine="454"/>
      </w:pPr>
      <w:r>
        <w:rPr>
          <w:rFonts w:ascii="Times New Roman" w:hAnsi="Times New Roman"/>
        </w:rPr>
        <w:t>7.1. Платформа предоставляется по принципу «как есть». Результаты работы Агентов формируются алгоритмически, носят вероятностный характер и могут содержать неточности. Партнёр и Правообладатель не гарантируют достижение конкретных экономических результатов, включая количество продуктивных контактов, конверсию, выручку, число записей и иные показатели, за исключением прямо согласованных критериев качества работы линии, указанных в Спецификации.</w:t>
      </w:r>
    </w:p>
    <w:p>
      <w:pPr>
        <w:spacing w:after="120"/>
        <w:ind w:firstLine="454"/>
      </w:pPr>
      <w:r>
        <w:rPr>
          <w:rFonts w:ascii="Times New Roman" w:hAnsi="Times New Roman"/>
        </w:rPr>
        <w:t>7.2. Правообладатель не является стороной настоящего Договора. Обязательства, гарантии и ответственность Правообладателя перед Клиентом ограничены объёмом обязательств Правообладателя по Партнёрскому договору. Претензии, связанные с работой Платформы, Клиент предъявляет Партнёру; Партнёр обеспечивает рассмотрение таких претензий во взаимодействии с Правообладателем.</w:t>
      </w:r>
    </w:p>
    <w:p>
      <w:pPr>
        <w:spacing w:after="120"/>
        <w:ind w:firstLine="454"/>
      </w:pPr>
      <w:r>
        <w:rPr>
          <w:rFonts w:ascii="Times New Roman" w:hAnsi="Times New Roman"/>
        </w:rPr>
        <w:t>7.3. Партнёр не несёт ответственности за косвенные убытки, упущенную выгоду, а также за последствия решений Клиента, принятых на основании результатов работы Платформы.</w:t>
      </w:r>
    </w:p>
    <w:p>
      <w:pPr>
        <w:spacing w:after="120"/>
        <w:ind w:firstLine="454"/>
      </w:pPr>
      <w:r>
        <w:rPr>
          <w:rFonts w:ascii="Times New Roman" w:hAnsi="Times New Roman"/>
        </w:rPr>
        <w:t>7.4. Совокупная ответственность Партнёра ограничивается суммой, фактически уплаченной Клиентом за 3 (три) Расчётных периода, предшествующих событию, послужившему основанием для требования. Указанное ограничение не применяется к нарушениям в области персональных данных, разглашению конфиденциальной информации и умышленным действиям.</w:t>
      </w:r>
    </w:p>
    <w:p>
      <w:pPr>
        <w:spacing w:after="120"/>
        <w:ind w:firstLine="454"/>
      </w:pPr>
      <w:r>
        <w:rPr>
          <w:rFonts w:ascii="Times New Roman" w:hAnsi="Times New Roman"/>
        </w:rPr>
        <w:t>7.5. Партнёр не несёт ответственности за невозможность использования Платформы, вызванную работой систем и сервисов, не находящихся под его контролем, включая операторов связи, облачную инфраструктуру и внешние программные интерфейсы, если соответствующий сбой не вызван виновными действиями Партнёра.</w:t>
      </w:r>
    </w:p>
    <w:p>
      <w:pPr>
        <w:spacing w:after="120"/>
        <w:ind w:firstLine="454"/>
      </w:pPr>
      <w:r>
        <w:rPr>
          <w:rFonts w:ascii="Times New Roman" w:hAnsi="Times New Roman"/>
        </w:rPr>
        <w:t xml:space="preserve">7.6. </w:t>
      </w:r>
      <w:r>
        <w:rPr>
          <w:rFonts w:ascii="Times New Roman" w:hAnsi="Times New Roman"/>
          <w:i/>
          <w:color w:val="707070"/>
          <w:sz w:val="20"/>
        </w:rPr>
        <w:t>ОПЦИЯ. Включать после согласования SLA с Правообладателем.</w:t>
      </w:r>
      <w:r>
        <w:rPr>
          <w:rFonts w:ascii="Times New Roman" w:hAnsi="Times New Roman"/>
        </w:rPr>
        <w:t xml:space="preserve"> За простой Платформы сверх согласованных в Спецификации показателей доступности по причинам, зависящим от Партнёра, объём использования продлевается на срок простоя либо стоимость соответствующего периода пересчитывается.</w:t>
      </w:r>
    </w:p>
    <w:p>
      <w:pPr>
        <w:keepNext/>
        <w:spacing w:before="240" w:after="120"/>
      </w:pPr>
      <w:r>
        <w:rPr>
          <w:rFonts w:ascii="Times New Roman" w:hAnsi="Times New Roman"/>
          <w:b/>
          <w:sz w:val="22"/>
        </w:rPr>
        <w:t>8. СТОИМОСТЬ И ПОРЯДОК РАСЧЁТОВ</w:t>
      </w:r>
    </w:p>
    <w:p>
      <w:pPr>
        <w:spacing w:after="120"/>
        <w:ind w:firstLine="454"/>
      </w:pPr>
      <w:r>
        <w:rPr>
          <w:rFonts w:ascii="Times New Roman" w:hAnsi="Times New Roman"/>
        </w:rPr>
        <w:t>8.1. Платежи по настоящему Договору состоят из:</w:t>
      </w:r>
    </w:p>
    <w:p>
      <w:pPr>
        <w:pStyle w:val="ListBullet"/>
        <w:spacing w:after="60"/>
        <w:ind w:left="454"/>
        <w:jc w:val="both"/>
      </w:pPr>
      <w:r>
        <w:rPr>
          <w:rFonts w:ascii="Times New Roman" w:hAnsi="Times New Roman"/>
          <w:b/>
        </w:rPr>
        <w:t>лицензионного вознаграждения</w:t>
      </w:r>
      <w:r>
        <w:rPr>
          <w:rFonts w:ascii="Times New Roman" w:hAnsi="Times New Roman"/>
        </w:rPr>
        <w:t xml:space="preserve"> за предоставление Права использования Платформы, определяемого по фактически потреблённому объёму;</w:t>
      </w:r>
    </w:p>
    <w:p>
      <w:pPr>
        <w:pStyle w:val="ListBullet"/>
        <w:spacing w:after="60"/>
        <w:ind w:left="454"/>
        <w:jc w:val="both"/>
      </w:pPr>
      <w:r>
        <w:rPr>
          <w:rFonts w:ascii="Times New Roman" w:hAnsi="Times New Roman"/>
          <w:b/>
        </w:rPr>
        <w:t>платы за Услуги</w:t>
      </w:r>
      <w:r>
        <w:rPr>
          <w:rFonts w:ascii="Times New Roman" w:hAnsi="Times New Roman"/>
        </w:rPr>
        <w:t>: единовременной платы за внедрение и настройку и ежемесячной платы за сопровождение.</w:t>
      </w:r>
    </w:p>
    <w:p>
      <w:pPr>
        <w:spacing w:after="120"/>
        <w:ind w:firstLine="454"/>
      </w:pPr>
      <w:r>
        <w:rPr>
          <w:rFonts w:ascii="Times New Roman" w:hAnsi="Times New Roman"/>
        </w:rPr>
        <w:t>8.2. Конкретные размеры платежей, объёмы и состав Услуг определяются Спецификацией (Приложение № 2).</w:t>
      </w:r>
    </w:p>
    <w:p>
      <w:pPr>
        <w:spacing w:after="120"/>
        <w:ind w:firstLine="454"/>
      </w:pPr>
      <w:r>
        <w:rPr>
          <w:rFonts w:ascii="Times New Roman" w:hAnsi="Times New Roman"/>
        </w:rPr>
        <w:t>8.3. Цена Права использования устанавливается в размере, не превышающем базовый тариф Правообладателя, действующий на дату предоставления права. Цена Услуг Партнёра указанным ограничением не связана и определяется Партнёром самостоятельно.</w:t>
      </w:r>
    </w:p>
    <w:p>
      <w:pPr>
        <w:spacing w:after="120"/>
        <w:ind w:firstLine="454"/>
      </w:pPr>
      <w:r>
        <w:rPr>
          <w:rFonts w:ascii="Times New Roman" w:hAnsi="Times New Roman"/>
        </w:rPr>
        <w:t xml:space="preserve">8.4. </w:t>
      </w:r>
      <w:r>
        <w:rPr>
          <w:rFonts w:ascii="Times New Roman" w:hAnsi="Times New Roman"/>
          <w:b/>
        </w:rPr>
        <w:t>Авансовый платёж.</w:t>
      </w:r>
      <w:r>
        <w:rPr>
          <w:rFonts w:ascii="Times New Roman" w:hAnsi="Times New Roman"/>
        </w:rPr>
        <w:t xml:space="preserve"> До активации Клиент вносит авансовый платёж в размере </w:t>
      </w:r>
      <w:r>
        <w:rPr>
          <w:rFonts w:ascii="Times New Roman" w:hAnsi="Times New Roman"/>
          <w:b/>
          <w:color w:val="B00000"/>
        </w:rPr>
        <w:t>__________</w:t>
      </w:r>
      <w:r>
        <w:rPr>
          <w:rFonts w:ascii="Times New Roman" w:hAnsi="Times New Roman"/>
        </w:rPr>
        <w:t xml:space="preserve"> ₽. Суммы фактически потреблённого объёма списываются из авансового платежа ежемесячно по данным Биллинга. При снижении остатка авансового платежа до 30 % Партнёр уведомляет Клиента; Клиент пополняет авансовый платёж в течение 3 (трёх) рабочих дней с даты уведомления.</w:t>
      </w:r>
    </w:p>
    <w:p>
      <w:pPr>
        <w:spacing w:after="120"/>
        <w:ind w:firstLine="454"/>
      </w:pPr>
      <w:r>
        <w:rPr>
          <w:rFonts w:ascii="Times New Roman" w:hAnsi="Times New Roman"/>
        </w:rPr>
        <w:t>8.5. Плата за сопровождение вносится предоплатой за Расчётный период не позднее 5-го числа Расчётного месяца. Плата за внедрение и настройку вносится в течение 5 (пяти) рабочих дней с даты подписания акта о внедрении, если Спецификацией не предусмотрено иное.</w:t>
      </w:r>
    </w:p>
    <w:p>
      <w:pPr>
        <w:spacing w:after="120"/>
        <w:ind w:firstLine="454"/>
      </w:pPr>
      <w:r>
        <w:rPr>
          <w:rFonts w:ascii="Times New Roman" w:hAnsi="Times New Roman"/>
        </w:rPr>
        <w:t xml:space="preserve">8.6. Лицензионное вознаграждение рассчитывается по фактически потреблённому объёму за Расчётный период по данным Биллинга. Неиспользованный объём в расчёт не включается и на следующий период не переносится. </w:t>
      </w:r>
      <w:r>
        <w:rPr>
          <w:rFonts w:ascii="Times New Roman" w:hAnsi="Times New Roman"/>
          <w:i/>
          <w:color w:val="707070"/>
          <w:sz w:val="20"/>
        </w:rPr>
        <w:t>ОПЦИЯ. Пункт о переносе до 30 % неиспользованного объёма включать только после письменного согласования с Правообладателем.</w:t>
      </w:r>
    </w:p>
    <w:p>
      <w:pPr>
        <w:spacing w:after="120"/>
        <w:ind w:firstLine="454"/>
      </w:pPr>
      <w:r>
        <w:rPr>
          <w:rFonts w:ascii="Times New Roman" w:hAnsi="Times New Roman"/>
        </w:rPr>
        <w:t>8.7. Основанием для расчётов являются данные Биллинга, доступные Клиенту в личном кабинете. Клиент вправе заявить мотивированные возражения в течение 5 (пяти) рабочих дней с даты получения счёта; при отсутствии возражений объём считается согласованным.</w:t>
      </w:r>
    </w:p>
    <w:p>
      <w:pPr>
        <w:spacing w:after="120"/>
        <w:ind w:firstLine="454"/>
      </w:pPr>
      <w:r>
        <w:rPr>
          <w:rFonts w:ascii="Times New Roman" w:hAnsi="Times New Roman"/>
        </w:rPr>
        <w:t>8.8. За нарушение срока оплаты начисляется пеня в размере 0,1 % от суммы задолженности за каждый день просрочки. При просрочке более 5 (пяти) рабочих дней Партнёр вправе приостановить доступ в порядке раздела 6.</w:t>
      </w:r>
    </w:p>
    <w:p>
      <w:pPr>
        <w:spacing w:after="120"/>
        <w:ind w:firstLine="454"/>
      </w:pPr>
      <w:r>
        <w:rPr>
          <w:rFonts w:ascii="Times New Roman" w:hAnsi="Times New Roman"/>
        </w:rPr>
        <w:t>8.9. При прекращении настоящего Договора неизрасходованный остаток авансового платежа возвращается Клиенту в течение 10 (десяти) рабочих дней с даты прекращения за вычетом фактически потреблённого объёма и фактически оказанных Услуг.</w:t>
      </w:r>
    </w:p>
    <w:p>
      <w:pPr>
        <w:spacing w:after="120"/>
        <w:ind w:firstLine="454"/>
      </w:pPr>
      <w:r>
        <w:rPr>
          <w:rFonts w:ascii="Times New Roman" w:hAnsi="Times New Roman"/>
        </w:rPr>
        <w:t>8.10. Если стоимость Услуг или иных платежей изменяется, Стороны согласуют новую стоимость дополнительным соглашением. При изменении базовых тарифов Правообладателя более чем на 15 % Стороны согласуют новую цену Права использования в течение 10 (десяти) рабочих дней. При недостижении согласия любая Сторона вправе отказаться от настоящего Договора, направив уведомление не позднее чем за 30 (тридцать) календарных дней; неизрасходованный остаток авансового платежа возвращается Клиенту.</w:t>
      </w:r>
    </w:p>
    <w:p>
      <w:pPr>
        <w:spacing w:after="120"/>
        <w:ind w:firstLine="454"/>
      </w:pPr>
      <w:r>
        <w:rPr>
          <w:rFonts w:ascii="Times New Roman" w:hAnsi="Times New Roman"/>
        </w:rPr>
        <w:t xml:space="preserve">8.11. Расчёты производятся в рублях Российской Федерации безналичным перечислением. </w:t>
      </w:r>
      <w:r>
        <w:rPr>
          <w:rFonts w:ascii="Times New Roman" w:hAnsi="Times New Roman"/>
          <w:i/>
          <w:color w:val="707070"/>
          <w:sz w:val="20"/>
        </w:rPr>
        <w:t>ОПЦИЯ. Налоговый режим. Для Партнёра на УСН: «НДС не облагается в связи с применением Партнёром упрощённой системы налогообложения». Для Партнёра — плательщика НДС: «Стоимость указана без НДС; НДС начисляется по ставке, установленной законодательством». Согласовать с бухгалтером.</w:t>
      </w:r>
    </w:p>
    <w:p>
      <w:pPr>
        <w:keepNext/>
        <w:spacing w:before="240" w:after="120"/>
      </w:pPr>
      <w:r>
        <w:rPr>
          <w:rFonts w:ascii="Times New Roman" w:hAnsi="Times New Roman"/>
          <w:b/>
          <w:sz w:val="22"/>
        </w:rPr>
        <w:t>9. ПЕРСОНАЛЬНЫЕ ДАННЫЕ</w:t>
      </w:r>
    </w:p>
    <w:p>
      <w:pPr>
        <w:spacing w:after="120"/>
        <w:ind w:firstLine="454"/>
      </w:pPr>
      <w:r>
        <w:rPr>
          <w:rFonts w:ascii="Times New Roman" w:hAnsi="Times New Roman"/>
        </w:rPr>
        <w:t>9.1. Оператором персональных данных, обрабатываемых при использовании Платформы, является Клиент. Клиент поручает Партнёру обработку персональных данных, а Партнёр привлекает Правообладателя в качестве последующего обработчика. Партнёр и Правообладатель не преследуют собственных целей обработки и не становятся самостоятельными операторами.</w:t>
      </w:r>
    </w:p>
    <w:p>
      <w:pPr>
        <w:spacing w:after="120"/>
        <w:ind w:firstLine="454"/>
      </w:pPr>
      <w:r>
        <w:rPr>
          <w:rFonts w:ascii="Times New Roman" w:hAnsi="Times New Roman"/>
        </w:rPr>
        <w:t>9.2. Условия обработки, перечень данных, цели, сроки и порядок взаимодействия Сторон определяются Поручением на обработку персональных данных (Приложение № 1), которое является неотъемлемой частью настоящего Договора.</w:t>
      </w:r>
    </w:p>
    <w:p>
      <w:pPr>
        <w:spacing w:after="120"/>
        <w:ind w:firstLine="454"/>
      </w:pPr>
      <w:r>
        <w:rPr>
          <w:rFonts w:ascii="Times New Roman" w:hAnsi="Times New Roman"/>
        </w:rPr>
        <w:t>9.3. Клиент даёт согласие на предоставление Партнёром Правообладателю выписки из Приложения № 1 (с возможным обезличиванием сведений о Клиенте) в целях подтверждения наличия поручения на обработку персональных данных и правовых оснований обработки. Стоимость Услуг при предоставлении такой выписки не раскрывается.</w:t>
      </w:r>
    </w:p>
    <w:p>
      <w:pPr>
        <w:keepNext/>
        <w:spacing w:before="240" w:after="120"/>
      </w:pPr>
      <w:r>
        <w:rPr>
          <w:rFonts w:ascii="Times New Roman" w:hAnsi="Times New Roman"/>
          <w:b/>
          <w:sz w:val="22"/>
        </w:rPr>
        <w:t>10. СРОК ДЕЙСТВИЯ И РАСТОРЖЕНИЕ ДОГОВОРА</w:t>
      </w:r>
    </w:p>
    <w:p>
      <w:pPr>
        <w:spacing w:after="120"/>
        <w:ind w:firstLine="454"/>
      </w:pPr>
      <w:r>
        <w:rPr>
          <w:rFonts w:ascii="Times New Roman" w:hAnsi="Times New Roman"/>
        </w:rPr>
        <w:t>10.1. Настоящий Договор вступает в силу с даты подписания и действует 12 (двенадцать) месяцев. Если ни одна из Сторон не заявит об отказе не позднее чем за 30 (тридцать) календарных дней до истечения срока, Договор продлевается на тот же срок на тех же условиях.</w:t>
      </w:r>
    </w:p>
    <w:p>
      <w:pPr>
        <w:spacing w:after="120"/>
        <w:ind w:firstLine="454"/>
      </w:pPr>
      <w:r>
        <w:rPr>
          <w:rFonts w:ascii="Times New Roman" w:hAnsi="Times New Roman"/>
        </w:rPr>
        <w:t>10.2. Каждая из Сторон вправе отказаться от настоящего Договора, направив письменное уведомление другой Стороне не позднее чем за 30 (тридцать) календарных дней. При этом Клиент оплачивает фактически потреблённый объём и фактически оказанные Услуги; неизрасходованный остаток авансового платежа возвращается в порядке пункта 8.9.</w:t>
      </w:r>
    </w:p>
    <w:p>
      <w:pPr>
        <w:spacing w:after="120"/>
        <w:ind w:firstLine="454"/>
      </w:pPr>
      <w:r>
        <w:rPr>
          <w:rFonts w:ascii="Times New Roman" w:hAnsi="Times New Roman"/>
        </w:rPr>
        <w:t>10.3. Партнёр вправе отказаться от настоящего Договора в одностороннем порядке при нарушении Клиентом раздела 4 или раздела 5 настоящего Договора, а также при просрочке оплаты более чем на 30 (тридцать) календарных дней.</w:t>
      </w:r>
    </w:p>
    <w:p>
      <w:pPr>
        <w:spacing w:after="120"/>
        <w:ind w:firstLine="454"/>
      </w:pPr>
      <w:r>
        <w:rPr>
          <w:rFonts w:ascii="Times New Roman" w:hAnsi="Times New Roman"/>
        </w:rPr>
        <w:t>10.4. При прекращении настоящего Договора: доступ к Платформе прекращается после исполнения Сторонами обязательств по расчётам; Клиент вправе в течение 30 (тридцати) календарных дней запросить выгрузку Записей разговоров; конфигурации и Сценарии передаются в порядке, предусмотренном Приложением № 1 и Спецификацией.</w:t>
      </w:r>
    </w:p>
    <w:p>
      <w:pPr>
        <w:keepNext/>
        <w:spacing w:before="240" w:after="120"/>
      </w:pPr>
      <w:r>
        <w:rPr>
          <w:rFonts w:ascii="Times New Roman" w:hAnsi="Times New Roman"/>
          <w:b/>
          <w:sz w:val="22"/>
        </w:rPr>
        <w:t>11. ПРОЧИЕ УСЛОВИЯ</w:t>
      </w:r>
    </w:p>
    <w:p>
      <w:pPr>
        <w:spacing w:after="120"/>
        <w:ind w:firstLine="454"/>
      </w:pPr>
      <w:r>
        <w:rPr>
          <w:rFonts w:ascii="Times New Roman" w:hAnsi="Times New Roman"/>
        </w:rPr>
        <w:t>11.1. Настоящий Договор регулируется правом Российской Федерации.</w:t>
      </w:r>
    </w:p>
    <w:p>
      <w:pPr>
        <w:spacing w:after="120"/>
        <w:ind w:firstLine="454"/>
      </w:pPr>
      <w:r>
        <w:rPr>
          <w:rFonts w:ascii="Times New Roman" w:hAnsi="Times New Roman"/>
        </w:rPr>
        <w:t xml:space="preserve">11.2. Стороны соблюдают претензионный порядок. Срок ответа на претензию — 10 (десять) рабочих дней с даты её получения. Претензия, направленная по адресу электронной почты, указанному в реквизитах Сторон, считается полученной в день направления. При недостижении согласия спор передаётся в Арбитражный суд </w:t>
      </w:r>
      <w:r>
        <w:rPr>
          <w:rFonts w:ascii="Times New Roman" w:hAnsi="Times New Roman"/>
          <w:b/>
          <w:color w:val="B00000"/>
        </w:rPr>
        <w:t>ГОРОД / по месту нахождения Партнёра</w:t>
      </w:r>
      <w:r>
        <w:rPr>
          <w:rFonts w:ascii="Times New Roman" w:hAnsi="Times New Roman"/>
        </w:rPr>
        <w:t>.</w:t>
      </w:r>
    </w:p>
    <w:p>
      <w:pPr>
        <w:spacing w:after="120"/>
        <w:ind w:firstLine="454"/>
      </w:pPr>
      <w:r>
        <w:rPr>
          <w:rFonts w:ascii="Times New Roman" w:hAnsi="Times New Roman"/>
        </w:rPr>
        <w:t>11.3. Юридически значимые сообщения направляются по адресам и адресам электронной почты, указанным в реквизитах Сторон, а также через личный кабинет Платформы. Об изменении реквизитов Сторона уведомляет в течение 5 (пяти) рабочих дней.</w:t>
      </w:r>
    </w:p>
    <w:p>
      <w:pPr>
        <w:spacing w:after="120"/>
        <w:ind w:firstLine="454"/>
      </w:pPr>
      <w:r>
        <w:rPr>
          <w:rFonts w:ascii="Times New Roman" w:hAnsi="Times New Roman"/>
        </w:rPr>
        <w:t>11.4. Приложения к настоящему Договору являются его неотъемлемой частью:</w:t>
      </w:r>
    </w:p>
    <w:p>
      <w:pPr>
        <w:pStyle w:val="ListBullet"/>
        <w:spacing w:after="60"/>
        <w:ind w:left="454"/>
        <w:jc w:val="both"/>
      </w:pPr>
      <w:r>
        <w:rPr>
          <w:rFonts w:ascii="Times New Roman" w:hAnsi="Times New Roman"/>
        </w:rPr>
        <w:t>Приложение № 1 — Поручение на обработку персональных данных;</w:t>
      </w:r>
    </w:p>
    <w:p>
      <w:pPr>
        <w:pStyle w:val="ListBullet"/>
        <w:spacing w:after="60"/>
        <w:ind w:left="454"/>
        <w:jc w:val="both"/>
      </w:pPr>
      <w:r>
        <w:rPr>
          <w:rFonts w:ascii="Times New Roman" w:hAnsi="Times New Roman"/>
        </w:rPr>
        <w:t>Приложение № 2 — Спецификация (состав Права использования, Услуг, стоимость, критерии качества);</w:t>
      </w:r>
    </w:p>
    <w:p>
      <w:pPr>
        <w:pStyle w:val="ListBullet"/>
        <w:spacing w:after="60"/>
        <w:ind w:left="454"/>
        <w:jc w:val="both"/>
      </w:pPr>
      <w:r>
        <w:rPr>
          <w:rFonts w:ascii="Times New Roman" w:hAnsi="Times New Roman"/>
        </w:rPr>
        <w:t>Приложение № 3 — Перечень документов и подтверждений, предоставляемых Клиентом до активации;</w:t>
      </w:r>
    </w:p>
    <w:p>
      <w:pPr>
        <w:pStyle w:val="ListBullet"/>
        <w:spacing w:after="60"/>
        <w:ind w:left="454"/>
        <w:jc w:val="both"/>
      </w:pPr>
      <w:r>
        <w:rPr>
          <w:rFonts w:ascii="Times New Roman" w:hAnsi="Times New Roman"/>
        </w:rPr>
        <w:t>Приложение № 4 — Форма подтверждения правовых оснований обработки персональных данных и обзвона.</w:t>
      </w:r>
    </w:p>
    <w:p>
      <w:pPr>
        <w:spacing w:after="120"/>
        <w:ind w:firstLine="454"/>
      </w:pPr>
      <w:r>
        <w:rPr>
          <w:rFonts w:ascii="Times New Roman" w:hAnsi="Times New Roman"/>
        </w:rPr>
        <w:t>11.5. При противоречии между документами применяются в следующем порядке: Спецификация; Поручение на обработку персональных данных — в части обработки персональных данных; настоящий Договор; иные приложения.</w:t>
      </w:r>
    </w:p>
    <w:p>
      <w:pPr>
        <w:spacing w:after="120"/>
        <w:ind w:firstLine="454"/>
      </w:pPr>
      <w:r>
        <w:rPr>
          <w:rFonts w:ascii="Times New Roman" w:hAnsi="Times New Roman"/>
        </w:rPr>
        <w:t>11.6. Настоящий Договор может быть заключён путём подписания на бумажном носителе либо обмена документами через систему электронного документооборота с использованием усиленной квалифицированной электронной подписи.</w:t>
      </w:r>
    </w:p>
    <w:p>
      <w:pPr>
        <w:spacing w:after="120"/>
        <w:ind w:firstLine="454"/>
      </w:pPr>
      <w:r>
        <w:rPr>
          <w:rFonts w:ascii="Times New Roman" w:hAnsi="Times New Roman"/>
        </w:rPr>
        <w:t>11.7. Ни одна из Сторон не вправе передавать права и обязанности по настоящему Договору третьим лицам без письменного согласия другой Стороны.</w:t>
      </w:r>
    </w:p>
    <w:p>
      <w:pPr>
        <w:spacing w:after="120"/>
        <w:ind w:firstLine="454"/>
      </w:pPr>
      <w:r>
        <w:rPr>
          <w:rFonts w:ascii="Times New Roman" w:hAnsi="Times New Roman"/>
        </w:rPr>
        <w:t>11.8. Партнёр вправе ссылаться на условия Партнёрского договора в объёме, необходимом для исполнения настоящего Договора, и по запросу Клиента предоставляет соответствующие выписки, за исключением коммерческих условий Партнёрского договора.</w:t>
      </w:r>
    </w:p>
    <w:p>
      <w:pPr>
        <w:spacing w:after="120"/>
        <w:ind w:firstLine="454"/>
      </w:pPr>
      <w:r>
        <w:rPr>
          <w:rFonts w:ascii="Times New Roman" w:hAnsi="Times New Roman"/>
        </w:rPr>
        <w:t>11.9. Недействительность отдельного положения настоящего Договора не влечёт недействительности Договора в целом.</w:t>
      </w:r>
    </w:p>
    <w:p>
      <w:pPr>
        <w:keepNext/>
        <w:spacing w:before="240" w:after="120"/>
      </w:pPr>
      <w:r>
        <w:rPr>
          <w:rFonts w:ascii="Times New Roman" w:hAnsi="Times New Roman"/>
          <w:b/>
          <w:sz w:val="22"/>
        </w:rPr>
        <w:t>12. РЕКВИЗИТЫ И ПОДПИСИ СТОРОН</w:t>
      </w:r>
    </w:p>
    <w:tbl>
      <w:tblPr>
        <w:tblStyle w:val="TableGrid"/>
        <w:tblW w:type="auto" w:w="0"/>
        <w:jc w:val="center"/>
        <w:tblLook w:firstColumn="1" w:firstRow="1" w:lastColumn="0" w:lastRow="0" w:noHBand="0" w:noVBand="1" w:val="04A0"/>
      </w:tblPr>
      <w:tblGrid>
        <w:gridCol w:w="4677"/>
        <w:gridCol w:w="4677"/>
      </w:tblGrid>
      <w:tr>
        <w:tc>
          <w:tcPr>
            <w:tcW w:type="dxa" w:w="4762"/>
          </w:tcPr>
          <w:p>
            <w:pPr>
              <w:spacing w:after="40"/>
              <w:jc w:val="left"/>
            </w:pPr>
            <w:r/>
            <w:r>
              <w:rPr>
                <w:rFonts w:ascii="Times New Roman" w:hAnsi="Times New Roman"/>
                <w:b/>
                <w:sz w:val="20"/>
              </w:rPr>
              <w:t>ПАРТНЁР</w:t>
            </w:r>
          </w:p>
        </w:tc>
        <w:tc>
          <w:tcPr>
            <w:tcW w:type="dxa" w:w="4762"/>
          </w:tcPr>
          <w:p>
            <w:pPr>
              <w:spacing w:after="40"/>
              <w:jc w:val="left"/>
            </w:pPr>
            <w:r/>
            <w:r>
              <w:rPr>
                <w:rFonts w:ascii="Times New Roman" w:hAnsi="Times New Roman"/>
                <w:b/>
                <w:sz w:val="20"/>
              </w:rPr>
              <w:t>КЛИЕНТ</w:t>
            </w:r>
          </w:p>
        </w:tc>
      </w:tr>
      <w:tr>
        <w:tc>
          <w:tcPr>
            <w:tcW w:type="dxa" w:w="4762"/>
          </w:tcPr>
          <w:p>
            <w:pPr>
              <w:spacing w:after="40"/>
              <w:jc w:val="left"/>
            </w:pPr>
            <w:r/>
            <w:r>
              <w:rPr>
                <w:rFonts w:ascii="Times New Roman" w:hAnsi="Times New Roman"/>
                <w:sz w:val="20"/>
              </w:rPr>
              <w:t xml:space="preserve">Индивидуальный предприниматель </w:t>
            </w:r>
            <w:r>
              <w:rPr>
                <w:rFonts w:ascii="Times New Roman" w:hAnsi="Times New Roman"/>
                <w:b/>
                <w:color w:val="B00000"/>
                <w:sz w:val="20"/>
              </w:rPr>
              <w:t>ФИО</w:t>
            </w:r>
            <w:r>
              <w:rPr>
                <w:rFonts w:ascii="Times New Roman" w:hAnsi="Times New Roman"/>
                <w:sz w:val="20"/>
              </w:rPr>
              <w:br/>
              <w:t xml:space="preserve">ОГРНИП </w:t>
            </w:r>
            <w:r>
              <w:rPr>
                <w:rFonts w:ascii="Times New Roman" w:hAnsi="Times New Roman"/>
                <w:b/>
                <w:color w:val="B00000"/>
                <w:sz w:val="20"/>
              </w:rPr>
              <w:t>__________</w:t>
            </w:r>
            <w:r>
              <w:rPr>
                <w:rFonts w:ascii="Times New Roman" w:hAnsi="Times New Roman"/>
                <w:sz w:val="20"/>
              </w:rPr>
              <w:br/>
              <w:t xml:space="preserve">ИНН </w:t>
            </w:r>
            <w:r>
              <w:rPr>
                <w:rFonts w:ascii="Times New Roman" w:hAnsi="Times New Roman"/>
                <w:b/>
                <w:color w:val="B00000"/>
                <w:sz w:val="20"/>
              </w:rPr>
              <w:t>__________</w:t>
            </w:r>
            <w:r>
              <w:rPr>
                <w:rFonts w:ascii="Times New Roman" w:hAnsi="Times New Roman"/>
                <w:sz w:val="20"/>
              </w:rPr>
              <w:br/>
              <w:br/>
              <w:t xml:space="preserve">Адрес: </w:t>
            </w:r>
            <w:r>
              <w:rPr>
                <w:rFonts w:ascii="Times New Roman" w:hAnsi="Times New Roman"/>
                <w:b/>
                <w:color w:val="B00000"/>
                <w:sz w:val="20"/>
              </w:rPr>
              <w:t>__________</w:t>
            </w:r>
            <w:r>
              <w:rPr>
                <w:rFonts w:ascii="Times New Roman" w:hAnsi="Times New Roman"/>
                <w:sz w:val="20"/>
              </w:rPr>
              <w:br/>
              <w:t xml:space="preserve">Р/с </w:t>
            </w:r>
            <w:r>
              <w:rPr>
                <w:rFonts w:ascii="Times New Roman" w:hAnsi="Times New Roman"/>
                <w:b/>
                <w:color w:val="B00000"/>
                <w:sz w:val="20"/>
              </w:rPr>
              <w:t>__________</w:t>
            </w:r>
            <w:r>
              <w:rPr>
                <w:rFonts w:ascii="Times New Roman" w:hAnsi="Times New Roman"/>
                <w:sz w:val="20"/>
              </w:rPr>
              <w:br/>
              <w:t xml:space="preserve">Банк: </w:t>
            </w:r>
            <w:r>
              <w:rPr>
                <w:rFonts w:ascii="Times New Roman" w:hAnsi="Times New Roman"/>
                <w:b/>
                <w:color w:val="B00000"/>
                <w:sz w:val="20"/>
              </w:rPr>
              <w:t>__________</w:t>
            </w:r>
            <w:r>
              <w:rPr>
                <w:rFonts w:ascii="Times New Roman" w:hAnsi="Times New Roman"/>
                <w:sz w:val="20"/>
              </w:rPr>
              <w:br/>
              <w:t xml:space="preserve">БИК </w:t>
            </w:r>
            <w:r>
              <w:rPr>
                <w:rFonts w:ascii="Times New Roman" w:hAnsi="Times New Roman"/>
                <w:b/>
                <w:color w:val="B00000"/>
                <w:sz w:val="20"/>
              </w:rPr>
              <w:t>__________</w:t>
            </w:r>
            <w:r>
              <w:rPr>
                <w:rFonts w:ascii="Times New Roman" w:hAnsi="Times New Roman"/>
                <w:sz w:val="20"/>
              </w:rPr>
              <w:t xml:space="preserve">, к/с </w:t>
            </w:r>
            <w:r>
              <w:rPr>
                <w:rFonts w:ascii="Times New Roman" w:hAnsi="Times New Roman"/>
                <w:b/>
                <w:color w:val="B00000"/>
                <w:sz w:val="20"/>
              </w:rPr>
              <w:t>__________</w:t>
            </w:r>
            <w:r>
              <w:rPr>
                <w:rFonts w:ascii="Times New Roman" w:hAnsi="Times New Roman"/>
                <w:sz w:val="20"/>
              </w:rPr>
              <w:br/>
              <w:br/>
              <w:t xml:space="preserve">E-mail: </w:t>
            </w:r>
            <w:r>
              <w:rPr>
                <w:rFonts w:ascii="Times New Roman" w:hAnsi="Times New Roman"/>
                <w:b/>
                <w:color w:val="B00000"/>
                <w:sz w:val="20"/>
              </w:rPr>
              <w:t>__________</w:t>
            </w:r>
            <w:r>
              <w:rPr>
                <w:rFonts w:ascii="Times New Roman" w:hAnsi="Times New Roman"/>
                <w:sz w:val="20"/>
              </w:rPr>
              <w:br/>
              <w:t xml:space="preserve">Телефон: </w:t>
            </w:r>
            <w:r>
              <w:rPr>
                <w:rFonts w:ascii="Times New Roman" w:hAnsi="Times New Roman"/>
                <w:b/>
                <w:color w:val="B00000"/>
                <w:sz w:val="20"/>
              </w:rPr>
              <w:t>__________</w:t>
            </w:r>
            <w:r>
              <w:rPr>
                <w:rFonts w:ascii="Times New Roman" w:hAnsi="Times New Roman"/>
                <w:sz w:val="20"/>
              </w:rPr>
              <w:br/>
              <w:br/>
              <w:br/>
              <w:t xml:space="preserve">_________________ / </w:t>
            </w:r>
            <w:r>
              <w:rPr>
                <w:rFonts w:ascii="Times New Roman" w:hAnsi="Times New Roman"/>
                <w:b/>
                <w:color w:val="B00000"/>
                <w:sz w:val="20"/>
              </w:rPr>
              <w:t>ФИО</w:t>
            </w:r>
            <w:r>
              <w:rPr>
                <w:rFonts w:ascii="Times New Roman" w:hAnsi="Times New Roman"/>
                <w:sz w:val="20"/>
              </w:rPr>
              <w:t xml:space="preserve"> /</w:t>
              <w:br/>
              <w:br/>
              <w:t>«___» ____________ 20___ г.</w:t>
            </w:r>
          </w:p>
        </w:tc>
        <w:tc>
          <w:tcPr>
            <w:tcW w:type="dxa" w:w="4762"/>
          </w:tcPr>
          <w:p>
            <w:pPr>
              <w:spacing w:after="40"/>
              <w:jc w:val="left"/>
            </w:pPr>
            <w:r/>
            <w:r>
              <w:rPr>
                <w:rFonts w:ascii="Times New Roman" w:hAnsi="Times New Roman"/>
                <w:b/>
                <w:color w:val="B00000"/>
                <w:sz w:val="20"/>
              </w:rPr>
              <w:t>ПОЛНОЕ НАИМЕНОВАНИЕ</w:t>
            </w:r>
            <w:r>
              <w:rPr>
                <w:rFonts w:ascii="Times New Roman" w:hAnsi="Times New Roman"/>
                <w:sz w:val="20"/>
              </w:rPr>
              <w:br/>
              <w:t xml:space="preserve">ОГРН </w:t>
            </w:r>
            <w:r>
              <w:rPr>
                <w:rFonts w:ascii="Times New Roman" w:hAnsi="Times New Roman"/>
                <w:b/>
                <w:color w:val="B00000"/>
                <w:sz w:val="20"/>
              </w:rPr>
              <w:t>__________</w:t>
            </w:r>
            <w:r>
              <w:rPr>
                <w:rFonts w:ascii="Times New Roman" w:hAnsi="Times New Roman"/>
                <w:sz w:val="20"/>
              </w:rPr>
              <w:br/>
              <w:t xml:space="preserve">ИНН </w:t>
            </w:r>
            <w:r>
              <w:rPr>
                <w:rFonts w:ascii="Times New Roman" w:hAnsi="Times New Roman"/>
                <w:b/>
                <w:color w:val="B00000"/>
                <w:sz w:val="20"/>
              </w:rPr>
              <w:t>__________</w:t>
            </w:r>
            <w:r>
              <w:rPr>
                <w:rFonts w:ascii="Times New Roman" w:hAnsi="Times New Roman"/>
                <w:sz w:val="20"/>
              </w:rPr>
              <w:t xml:space="preserve">, КПП </w:t>
            </w:r>
            <w:r>
              <w:rPr>
                <w:rFonts w:ascii="Times New Roman" w:hAnsi="Times New Roman"/>
                <w:b/>
                <w:color w:val="B00000"/>
                <w:sz w:val="20"/>
              </w:rPr>
              <w:t>__________</w:t>
            </w:r>
            <w:r>
              <w:rPr>
                <w:rFonts w:ascii="Times New Roman" w:hAnsi="Times New Roman"/>
                <w:sz w:val="20"/>
              </w:rPr>
              <w:br/>
              <w:br/>
              <w:t xml:space="preserve">Адрес: </w:t>
            </w:r>
            <w:r>
              <w:rPr>
                <w:rFonts w:ascii="Times New Roman" w:hAnsi="Times New Roman"/>
                <w:b/>
                <w:color w:val="B00000"/>
                <w:sz w:val="20"/>
              </w:rPr>
              <w:t>__________</w:t>
            </w:r>
            <w:r>
              <w:rPr>
                <w:rFonts w:ascii="Times New Roman" w:hAnsi="Times New Roman"/>
                <w:sz w:val="20"/>
              </w:rPr>
              <w:br/>
              <w:t xml:space="preserve">Р/с </w:t>
            </w:r>
            <w:r>
              <w:rPr>
                <w:rFonts w:ascii="Times New Roman" w:hAnsi="Times New Roman"/>
                <w:b/>
                <w:color w:val="B00000"/>
                <w:sz w:val="20"/>
              </w:rPr>
              <w:t>__________</w:t>
            </w:r>
            <w:r>
              <w:rPr>
                <w:rFonts w:ascii="Times New Roman" w:hAnsi="Times New Roman"/>
                <w:sz w:val="20"/>
              </w:rPr>
              <w:br/>
              <w:t xml:space="preserve">Банк: </w:t>
            </w:r>
            <w:r>
              <w:rPr>
                <w:rFonts w:ascii="Times New Roman" w:hAnsi="Times New Roman"/>
                <w:b/>
                <w:color w:val="B00000"/>
                <w:sz w:val="20"/>
              </w:rPr>
              <w:t>__________</w:t>
            </w:r>
            <w:r>
              <w:rPr>
                <w:rFonts w:ascii="Times New Roman" w:hAnsi="Times New Roman"/>
                <w:sz w:val="20"/>
              </w:rPr>
              <w:br/>
              <w:t xml:space="preserve">БИК </w:t>
            </w:r>
            <w:r>
              <w:rPr>
                <w:rFonts w:ascii="Times New Roman" w:hAnsi="Times New Roman"/>
                <w:b/>
                <w:color w:val="B00000"/>
                <w:sz w:val="20"/>
              </w:rPr>
              <w:t>__________</w:t>
            </w:r>
            <w:r>
              <w:rPr>
                <w:rFonts w:ascii="Times New Roman" w:hAnsi="Times New Roman"/>
                <w:sz w:val="20"/>
              </w:rPr>
              <w:t xml:space="preserve">, к/с </w:t>
            </w:r>
            <w:r>
              <w:rPr>
                <w:rFonts w:ascii="Times New Roman" w:hAnsi="Times New Roman"/>
                <w:b/>
                <w:color w:val="B00000"/>
                <w:sz w:val="20"/>
              </w:rPr>
              <w:t>__________</w:t>
            </w:r>
            <w:r>
              <w:rPr>
                <w:rFonts w:ascii="Times New Roman" w:hAnsi="Times New Roman"/>
                <w:sz w:val="20"/>
              </w:rPr>
              <w:br/>
              <w:br/>
              <w:t xml:space="preserve">E-mail: </w:t>
            </w:r>
            <w:r>
              <w:rPr>
                <w:rFonts w:ascii="Times New Roman" w:hAnsi="Times New Roman"/>
                <w:b/>
                <w:color w:val="B00000"/>
                <w:sz w:val="20"/>
              </w:rPr>
              <w:t>__________</w:t>
            </w:r>
            <w:r>
              <w:rPr>
                <w:rFonts w:ascii="Times New Roman" w:hAnsi="Times New Roman"/>
                <w:sz w:val="20"/>
              </w:rPr>
              <w:br/>
              <w:t xml:space="preserve">Телефон: </w:t>
            </w:r>
            <w:r>
              <w:rPr>
                <w:rFonts w:ascii="Times New Roman" w:hAnsi="Times New Roman"/>
                <w:b/>
                <w:color w:val="B00000"/>
                <w:sz w:val="20"/>
              </w:rPr>
              <w:t>__________</w:t>
            </w:r>
            <w:r>
              <w:rPr>
                <w:rFonts w:ascii="Times New Roman" w:hAnsi="Times New Roman"/>
                <w:sz w:val="20"/>
              </w:rPr>
              <w:br/>
              <w:br/>
              <w:br/>
              <w:t xml:space="preserve">_________________ / </w:t>
            </w:r>
            <w:r>
              <w:rPr>
                <w:rFonts w:ascii="Times New Roman" w:hAnsi="Times New Roman"/>
                <w:b/>
                <w:color w:val="B00000"/>
                <w:sz w:val="20"/>
              </w:rPr>
              <w:t>ФИО</w:t>
            </w:r>
            <w:r>
              <w:rPr>
                <w:rFonts w:ascii="Times New Roman" w:hAnsi="Times New Roman"/>
                <w:sz w:val="20"/>
              </w:rPr>
              <w:t xml:space="preserve"> /</w:t>
              <w:br/>
              <w:br/>
              <w:t>«___» ____________ 20___ г.</w:t>
            </w:r>
          </w:p>
        </w:tc>
      </w:tr>
    </w:tbl>
    <w:p>
      <w:pPr>
        <w:spacing w:after="40"/>
      </w:pPr>
    </w:p>
    <w:p>
      <w:r>
        <w:br w:type="page"/>
      </w:r>
    </w:p>
    <w:p>
      <w:pPr>
        <w:spacing w:after="80"/>
        <w:jc w:val="center"/>
      </w:pPr>
      <w:r>
        <w:rPr>
          <w:rFonts w:ascii="Times New Roman" w:hAnsi="Times New Roman"/>
          <w:b/>
          <w:sz w:val="28"/>
        </w:rPr>
        <w:t>ПРИЛОЖЕНИЕ № 1</w:t>
      </w:r>
    </w:p>
    <w:p>
      <w:pPr>
        <w:spacing w:after="280"/>
        <w:jc w:val="center"/>
      </w:pPr>
      <w:r>
        <w:rPr>
          <w:rFonts w:ascii="Times New Roman" w:hAnsi="Times New Roman"/>
          <w:b/>
          <w:sz w:val="22"/>
        </w:rPr>
        <w:t xml:space="preserve">к Сублицензионному договору № </w:t>
      </w:r>
      <w:r>
        <w:rPr>
          <w:rFonts w:ascii="Times New Roman" w:hAnsi="Times New Roman"/>
          <w:b/>
          <w:color w:val="B00000"/>
          <w:sz w:val="22"/>
        </w:rPr>
        <w:t>___/___</w:t>
      </w:r>
      <w:r>
        <w:rPr>
          <w:rFonts w:ascii="Times New Roman" w:hAnsi="Times New Roman"/>
          <w:b/>
          <w:sz w:val="22"/>
        </w:rPr>
        <w:t xml:space="preserve"> от «___» __________ 20___ г.</w:t>
        <w:br/>
        <w:t>ПОРУЧЕНИЕ НА ОБРАБОТКУ ПЕРСОНАЛЬНЫХ ДАННЫХ</w:t>
      </w:r>
    </w:p>
    <w:p>
      <w:pPr>
        <w:spacing w:after="120"/>
        <w:ind w:firstLine="454"/>
      </w:pPr>
      <w:r>
        <w:rPr>
          <w:rFonts w:ascii="Times New Roman" w:hAnsi="Times New Roman"/>
          <w:b/>
          <w:color w:val="B00000"/>
        </w:rPr>
        <w:t>ПОЛНОЕ НАИМЕНОВАНИЕ КЛИЕНТА</w:t>
      </w:r>
      <w:r>
        <w:rPr>
          <w:rFonts w:ascii="Times New Roman" w:hAnsi="Times New Roman"/>
        </w:rPr>
        <w:t xml:space="preserve"> («Клиент») и Индивидуальный предприниматель </w:t>
      </w:r>
      <w:r>
        <w:rPr>
          <w:rFonts w:ascii="Times New Roman" w:hAnsi="Times New Roman"/>
          <w:b/>
          <w:color w:val="B00000"/>
        </w:rPr>
        <w:t>ФИО ПАРТНЁРА</w:t>
      </w:r>
      <w:r>
        <w:rPr>
          <w:rFonts w:ascii="Times New Roman" w:hAnsi="Times New Roman"/>
        </w:rPr>
        <w:t xml:space="preserve"> («Партнёр») согласовали настоящее Поручение как неотъемлемую часть Сублицензионного договора. Поручение оформлено в соответствии с частью 3 статьи 6 Федерального закона от 27.07.2006 № 152-ФЗ «О персональных данных».</w:t>
      </w:r>
    </w:p>
    <w:p>
      <w:pPr>
        <w:keepNext/>
        <w:spacing w:before="240" w:after="120"/>
      </w:pPr>
      <w:r>
        <w:rPr>
          <w:rFonts w:ascii="Times New Roman" w:hAnsi="Times New Roman"/>
          <w:b/>
          <w:sz w:val="22"/>
        </w:rPr>
        <w:t>1. РОЛИ СТОРОН И ЦЕПОЧКА ОБРАБОТКИ</w:t>
      </w:r>
    </w:p>
    <w:p>
      <w:pPr>
        <w:spacing w:after="120"/>
        <w:ind w:firstLine="454"/>
      </w:pPr>
      <w:r>
        <w:rPr>
          <w:rFonts w:ascii="Times New Roman" w:hAnsi="Times New Roman"/>
        </w:rPr>
        <w:t>1.1. Оператором персональных данных является Клиент. Клиент определяет цели обработки, состав данных, круг субъектов и правовые основания.</w:t>
      </w:r>
    </w:p>
    <w:p>
      <w:pPr>
        <w:spacing w:after="120"/>
        <w:ind w:firstLine="454"/>
      </w:pPr>
      <w:r>
        <w:rPr>
          <w:rFonts w:ascii="Times New Roman" w:hAnsi="Times New Roman"/>
        </w:rPr>
        <w:t>1.2. Партнёр обрабатывает персональные данные по поручению Клиента и является обработчиком.</w:t>
      </w:r>
    </w:p>
    <w:p>
      <w:pPr>
        <w:spacing w:after="120"/>
        <w:ind w:firstLine="454"/>
      </w:pPr>
      <w:r>
        <w:rPr>
          <w:rFonts w:ascii="Times New Roman" w:hAnsi="Times New Roman"/>
        </w:rPr>
        <w:t>1.3. Правообладатель (наименование, ОГРН и ИНН — в Спецификации) обрабатывает персональные данные по поручению Партнёра и является последующим обработчиком в цепочке. Собственных целей обработки Правообладатель не преследует и самостоятельным оператором не становится.</w:t>
      </w:r>
    </w:p>
    <w:p>
      <w:pPr>
        <w:spacing w:after="120"/>
        <w:ind w:firstLine="454"/>
      </w:pPr>
      <w:r>
        <w:rPr>
          <w:rFonts w:ascii="Times New Roman" w:hAnsi="Times New Roman"/>
        </w:rPr>
        <w:t>1.4. Клиент даёт Партнёру право привлекать Правообладателя и иных лиц, указанных в разделе 6 настоящего Поручения, для обработки персональных данных.</w:t>
      </w:r>
    </w:p>
    <w:p>
      <w:pPr>
        <w:spacing w:after="120"/>
        <w:ind w:firstLine="454"/>
      </w:pPr>
      <w:r>
        <w:rPr>
          <w:rFonts w:ascii="Times New Roman" w:hAnsi="Times New Roman"/>
        </w:rPr>
        <w:t>1.5. Клиент гарантирует, что получил все необходимые согласия субъектов, направил требуемые уведомления и обеспечил иные правовые основания обработки, включая основания для записи и распознавания телефонных разговоров и для направления рекламных сообщений.</w:t>
      </w:r>
    </w:p>
    <w:p>
      <w:pPr>
        <w:keepNext/>
        <w:spacing w:before="240" w:after="120"/>
      </w:pPr>
      <w:r>
        <w:rPr>
          <w:rFonts w:ascii="Times New Roman" w:hAnsi="Times New Roman"/>
          <w:b/>
          <w:sz w:val="22"/>
        </w:rPr>
        <w:t>2. ЦЕЛИ ОБРАБОТКИ</w:t>
      </w:r>
    </w:p>
    <w:p>
      <w:pPr>
        <w:spacing w:after="120"/>
        <w:ind w:firstLine="454"/>
      </w:pPr>
      <w:r>
        <w:rPr>
          <w:rFonts w:ascii="Times New Roman" w:hAnsi="Times New Roman"/>
        </w:rPr>
        <w:t>2.1. Персональные данные обрабатываются исключительно в следующих целях:</w:t>
      </w:r>
    </w:p>
    <w:p>
      <w:pPr>
        <w:pStyle w:val="ListBullet"/>
        <w:spacing w:after="60"/>
        <w:ind w:left="454"/>
        <w:jc w:val="both"/>
      </w:pPr>
      <w:r>
        <w:rPr>
          <w:rFonts w:ascii="Times New Roman" w:hAnsi="Times New Roman"/>
        </w:rPr>
        <w:t>осуществление телефонных коммуникаций с абонентами по Сценарию, заданному Клиентом;</w:t>
      </w:r>
    </w:p>
    <w:p>
      <w:pPr>
        <w:pStyle w:val="ListBullet"/>
        <w:spacing w:after="60"/>
        <w:ind w:left="454"/>
        <w:jc w:val="both"/>
      </w:pPr>
      <w:r>
        <w:rPr>
          <w:rFonts w:ascii="Times New Roman" w:hAnsi="Times New Roman"/>
        </w:rPr>
        <w:t>запись, хранение и воспроизведение разговоров, их распознавание и транскрибация;</w:t>
      </w:r>
    </w:p>
    <w:p>
      <w:pPr>
        <w:pStyle w:val="ListBullet"/>
        <w:spacing w:after="60"/>
        <w:ind w:left="454"/>
        <w:jc w:val="both"/>
      </w:pPr>
      <w:r>
        <w:rPr>
          <w:rFonts w:ascii="Times New Roman" w:hAnsi="Times New Roman"/>
        </w:rPr>
        <w:t>формирование результатов обработки, отчётов и аналитики для Клиента;</w:t>
      </w:r>
    </w:p>
    <w:p>
      <w:pPr>
        <w:pStyle w:val="ListBullet"/>
        <w:spacing w:after="60"/>
        <w:ind w:left="454"/>
        <w:jc w:val="both"/>
      </w:pPr>
      <w:r>
        <w:rPr>
          <w:rFonts w:ascii="Times New Roman" w:hAnsi="Times New Roman"/>
        </w:rPr>
        <w:t>обеспечение технической работоспособности Платформы, включая диагностику сбоев;</w:t>
      </w:r>
    </w:p>
    <w:p>
      <w:pPr>
        <w:pStyle w:val="ListBullet"/>
        <w:spacing w:after="60"/>
        <w:ind w:left="454"/>
        <w:jc w:val="both"/>
      </w:pPr>
      <w:r>
        <w:rPr>
          <w:rFonts w:ascii="Times New Roman" w:hAnsi="Times New Roman"/>
        </w:rPr>
        <w:t>подтверждение объёма использования Платформы для расчётов между Сторонами.</w:t>
      </w:r>
    </w:p>
    <w:p>
      <w:pPr>
        <w:spacing w:after="120"/>
        <w:ind w:firstLine="454"/>
      </w:pPr>
      <w:r>
        <w:rPr>
          <w:rFonts w:ascii="Times New Roman" w:hAnsi="Times New Roman"/>
        </w:rPr>
        <w:t>2.2. Обработка в иных целях, в том числе для продвижения товаров и услуг Партнёра и Правообладателя и для формирования собственных клиентских баз, не допускается. Указанное ограничение действует и после прекращения настоящего Договора.</w:t>
      </w:r>
    </w:p>
    <w:p>
      <w:pPr>
        <w:keepNext/>
        <w:spacing w:before="240" w:after="120"/>
      </w:pPr>
      <w:r>
        <w:rPr>
          <w:rFonts w:ascii="Times New Roman" w:hAnsi="Times New Roman"/>
          <w:b/>
          <w:sz w:val="22"/>
        </w:rPr>
        <w:t>3. КАТЕГОРИИ СУБЪЕКТОВ И ПЕРЕЧЕНЬ ПЕРСОНАЛЬНЫХ ДАННЫХ</w:t>
      </w:r>
    </w:p>
    <w:p>
      <w:pPr>
        <w:spacing w:after="120"/>
        <w:ind w:firstLine="454"/>
      </w:pPr>
      <w:r>
        <w:rPr>
          <w:rFonts w:ascii="Times New Roman" w:hAnsi="Times New Roman"/>
        </w:rPr>
        <w:t>3.1. Категории субъектов: абоненты, с которыми Платформа осуществляет коммуникации; работники Клиента, участвующие в коммуникациях либо имеющие доступ к Платформе; работники Партнёра, имеющие доступ к Платформе.</w:t>
      </w:r>
    </w:p>
    <w:p>
      <w:pPr>
        <w:spacing w:after="120"/>
        <w:ind w:firstLine="454"/>
      </w:pPr>
      <w:r>
        <w:rPr>
          <w:rFonts w:ascii="Times New Roman" w:hAnsi="Times New Roman"/>
        </w:rPr>
        <w:t>3.2. Перечень обрабатываемых персональных данных абонентов: номер телефона; фамилия, имя, отчество или их часть; иные сведения, включённые в передаваемые данные; содержание разговора, включая аудиозапись и её транскрибацию; дата, время и продолжительность коммуникации; результат и статус обработки.</w:t>
      </w:r>
    </w:p>
    <w:p>
      <w:pPr>
        <w:spacing w:after="120"/>
        <w:ind w:firstLine="454"/>
      </w:pPr>
      <w:r>
        <w:rPr>
          <w:rFonts w:ascii="Times New Roman" w:hAnsi="Times New Roman"/>
        </w:rPr>
        <w:t>3.3. Перечень обрабатываемых персональных данных работников Клиента и Партнёра: фамилия, имя, отчество; должность; служебные контактные данные; идентификатор учётной записи; содержание разговоров с их участием; сведения о действиях в Платформе.</w:t>
      </w:r>
    </w:p>
    <w:p>
      <w:pPr>
        <w:spacing w:after="120"/>
        <w:ind w:firstLine="454"/>
      </w:pPr>
      <w:r>
        <w:rPr>
          <w:rFonts w:ascii="Times New Roman" w:hAnsi="Times New Roman"/>
        </w:rPr>
        <w:t>3.4. Состав данных определяется Клиентом. Клиент обеспечивает, чтобы в Платформу не передавались данные, обработка которых не требуется для целей раздела 2, а также специальные категории персональных данных, если их обработка не является необходимой и не имеет надлежащего правового основания.</w:t>
      </w:r>
    </w:p>
    <w:p>
      <w:pPr>
        <w:spacing w:after="120"/>
        <w:ind w:firstLine="454"/>
      </w:pPr>
      <w:r>
        <w:rPr>
          <w:rFonts w:ascii="Times New Roman" w:hAnsi="Times New Roman"/>
        </w:rPr>
        <w:t>3.5. Биометрические персональные данные не обрабатываются. Записи голоса не используются для установления личности субъекта по его физиологическим и биологическим особенностям.</w:t>
      </w:r>
    </w:p>
    <w:p>
      <w:pPr>
        <w:keepNext/>
        <w:spacing w:before="240" w:after="120"/>
      </w:pPr>
      <w:r>
        <w:rPr>
          <w:rFonts w:ascii="Times New Roman" w:hAnsi="Times New Roman"/>
          <w:b/>
          <w:sz w:val="22"/>
        </w:rPr>
        <w:t>4. ПЕРЕЧЕНЬ ДЕЙСТВИЙ С ПЕРСОНАЛЬНЫМИ ДАННЫМИ</w:t>
      </w:r>
    </w:p>
    <w:p>
      <w:pPr>
        <w:spacing w:after="120"/>
        <w:ind w:firstLine="454"/>
      </w:pPr>
      <w:r>
        <w:rPr>
          <w:rFonts w:ascii="Times New Roman" w:hAnsi="Times New Roman"/>
        </w:rPr>
        <w:t>4.1. Совершаемые действия: сбор в объёме получения и фиксации в ходе коммуникации; запись; систематизация; накопление; хранение; уточнение, включая обновление и изменение; извлечение; использование; передача Клиенту; обезличивание; блокирование; удаление; уничтожение.</w:t>
      </w:r>
    </w:p>
    <w:p>
      <w:pPr>
        <w:spacing w:after="120"/>
        <w:ind w:firstLine="454"/>
      </w:pPr>
      <w:r>
        <w:rPr>
          <w:rFonts w:ascii="Times New Roman" w:hAnsi="Times New Roman"/>
        </w:rPr>
        <w:t>4.2. Обработка осуществляется как автоматизированным способом, так и без использования средств автоматизации.</w:t>
      </w:r>
    </w:p>
    <w:p>
      <w:pPr>
        <w:spacing w:after="120"/>
        <w:ind w:firstLine="454"/>
      </w:pPr>
      <w:r>
        <w:rPr>
          <w:rFonts w:ascii="Times New Roman" w:hAnsi="Times New Roman"/>
        </w:rPr>
        <w:t>4.3. Распространение персональных данных не осуществляется. Передача третьим лицам допускается только в случаях, предусмотренных разделом 6 настоящего Поручения, и по требованиям закона.</w:t>
      </w:r>
    </w:p>
    <w:p>
      <w:pPr>
        <w:spacing w:after="120"/>
        <w:ind w:firstLine="454"/>
      </w:pPr>
      <w:r>
        <w:rPr>
          <w:rFonts w:ascii="Times New Roman" w:hAnsi="Times New Roman"/>
        </w:rPr>
        <w:t>4.4. При передаче данных в аналитические модули Платформы и при формировании отчётности обеспечивается техническая возможность обезличивания.</w:t>
      </w:r>
    </w:p>
    <w:p>
      <w:pPr>
        <w:keepNext/>
        <w:spacing w:before="240" w:after="120"/>
      </w:pPr>
      <w:r>
        <w:rPr>
          <w:rFonts w:ascii="Times New Roman" w:hAnsi="Times New Roman"/>
          <w:b/>
          <w:sz w:val="22"/>
        </w:rPr>
        <w:t>5. ТРЕБОВАНИЯ К ЗАЩИТЕ ПЕРСОНАЛЬНЫХ ДАННЫХ</w:t>
      </w:r>
    </w:p>
    <w:p>
      <w:pPr>
        <w:spacing w:after="120"/>
        <w:ind w:firstLine="454"/>
      </w:pPr>
      <w:r>
        <w:rPr>
          <w:rFonts w:ascii="Times New Roman" w:hAnsi="Times New Roman"/>
        </w:rPr>
        <w:t>5.1. Партнёр и привлечённые им лица обеспечивают конфиденциальность персональных данных и принимают меры, предусмотренные статьями 18.1 и 19 Федерального закона № 152-ФЗ, в том числе:</w:t>
      </w:r>
    </w:p>
    <w:p>
      <w:pPr>
        <w:pStyle w:val="ListBullet"/>
        <w:spacing w:after="60"/>
        <w:ind w:left="454"/>
        <w:jc w:val="both"/>
      </w:pPr>
      <w:r>
        <w:rPr>
          <w:rFonts w:ascii="Times New Roman" w:hAnsi="Times New Roman"/>
        </w:rPr>
        <w:t>определение угроз безопасности при обработке в информационных системах;</w:t>
      </w:r>
    </w:p>
    <w:p>
      <w:pPr>
        <w:pStyle w:val="ListBullet"/>
        <w:spacing w:after="60"/>
        <w:ind w:left="454"/>
        <w:jc w:val="both"/>
      </w:pPr>
      <w:r>
        <w:rPr>
          <w:rFonts w:ascii="Times New Roman" w:hAnsi="Times New Roman"/>
        </w:rPr>
        <w:t>применение организационных и технических мер, необходимых для выполнения требований к уровню защищённости;</w:t>
      </w:r>
    </w:p>
    <w:p>
      <w:pPr>
        <w:pStyle w:val="ListBullet"/>
        <w:spacing w:after="60"/>
        <w:ind w:left="454"/>
        <w:jc w:val="both"/>
      </w:pPr>
      <w:r>
        <w:rPr>
          <w:rFonts w:ascii="Times New Roman" w:hAnsi="Times New Roman"/>
        </w:rPr>
        <w:t>разграничение доступа: доступ предоставляется работникам в объёме, необходимом для выполнения трудовых обязанностей, на основании индивидуальных учётных записей;</w:t>
      </w:r>
    </w:p>
    <w:p>
      <w:pPr>
        <w:pStyle w:val="ListBullet"/>
        <w:spacing w:after="60"/>
        <w:ind w:left="454"/>
        <w:jc w:val="both"/>
      </w:pPr>
      <w:r>
        <w:rPr>
          <w:rFonts w:ascii="Times New Roman" w:hAnsi="Times New Roman"/>
        </w:rPr>
        <w:t>изоляция данных разных клиентов в отдельных учётных записях;</w:t>
      </w:r>
    </w:p>
    <w:p>
      <w:pPr>
        <w:pStyle w:val="ListBullet"/>
        <w:spacing w:after="60"/>
        <w:ind w:left="454"/>
        <w:jc w:val="both"/>
      </w:pPr>
      <w:r>
        <w:rPr>
          <w:rFonts w:ascii="Times New Roman" w:hAnsi="Times New Roman"/>
        </w:rPr>
        <w:t>регистрация действий с персональными данными в информационной системе;</w:t>
      </w:r>
    </w:p>
    <w:p>
      <w:pPr>
        <w:pStyle w:val="ListBullet"/>
        <w:spacing w:after="60"/>
        <w:ind w:left="454"/>
        <w:jc w:val="both"/>
      </w:pPr>
      <w:r>
        <w:rPr>
          <w:rFonts w:ascii="Times New Roman" w:hAnsi="Times New Roman"/>
        </w:rPr>
        <w:t>обнаружение фактов несанкционированного доступа и принятие мер по восстановлению данных.</w:t>
      </w:r>
    </w:p>
    <w:p>
      <w:pPr>
        <w:spacing w:after="120"/>
        <w:ind w:firstLine="454"/>
      </w:pPr>
      <w:r>
        <w:rPr>
          <w:rFonts w:ascii="Times New Roman" w:hAnsi="Times New Roman"/>
        </w:rPr>
        <w:t>5.2. Клиент применяет сопоставимые меры защиты в отношении доступа к Платформе, предоставленного ему и его работникам: индивидуальные учётные записи, безопасное хранение паролей и ключей, уведомление Партнёра об инцидентах не позднее следующего рабочего дня.</w:t>
      </w:r>
    </w:p>
    <w:p>
      <w:pPr>
        <w:keepNext/>
        <w:spacing w:before="240" w:after="120"/>
      </w:pPr>
      <w:r>
        <w:rPr>
          <w:rFonts w:ascii="Times New Roman" w:hAnsi="Times New Roman"/>
          <w:b/>
          <w:sz w:val="22"/>
        </w:rPr>
        <w:t>6. ПРИВЛЕЧЕНИЕ ТРЕТЬИХ ЛИЦ</w:t>
      </w:r>
    </w:p>
    <w:p>
      <w:pPr>
        <w:spacing w:after="120"/>
        <w:ind w:firstLine="454"/>
      </w:pPr>
      <w:r>
        <w:rPr>
          <w:rFonts w:ascii="Times New Roman" w:hAnsi="Times New Roman"/>
        </w:rPr>
        <w:t>6.1. Партнёр вправе привлекать третьих лиц для технического обеспечения обработки, в том числе Правообладателя, операторов связи, поставщиков услуг размещения инфраструктуры и обработки речи, при условии возложения на них обязательств не менее строгих, чем предусмотренные настоящим Поручением.</w:t>
      </w:r>
    </w:p>
    <w:p>
      <w:pPr>
        <w:spacing w:after="120"/>
        <w:ind w:firstLine="454"/>
      </w:pPr>
      <w:r>
        <w:rPr>
          <w:rFonts w:ascii="Times New Roman" w:hAnsi="Times New Roman"/>
        </w:rPr>
        <w:t>6.2. Клиент даёт общее согласие на привлечение таких лиц. По письменному запросу Клиента Партнёр в течение 10 (десяти) рабочих дней сообщает перечень привлечённых лиц и категории выполняемых ими действий.</w:t>
      </w:r>
    </w:p>
    <w:p>
      <w:pPr>
        <w:spacing w:after="120"/>
        <w:ind w:firstLine="454"/>
      </w:pPr>
      <w:r>
        <w:rPr>
          <w:rFonts w:ascii="Times New Roman" w:hAnsi="Times New Roman"/>
        </w:rPr>
        <w:t>6.3. Партнёр отвечает перед Клиентом за действия привлечённых лиц как за свои собственные.</w:t>
      </w:r>
    </w:p>
    <w:p>
      <w:pPr>
        <w:keepNext/>
        <w:spacing w:before="240" w:after="120"/>
      </w:pPr>
      <w:r>
        <w:rPr>
          <w:rFonts w:ascii="Times New Roman" w:hAnsi="Times New Roman"/>
          <w:b/>
          <w:sz w:val="22"/>
        </w:rPr>
        <w:t>7. МЕСТО ОБРАБОТКИ И ХРАНЕНИЯ</w:t>
      </w:r>
    </w:p>
    <w:p>
      <w:pPr>
        <w:spacing w:after="120"/>
        <w:ind w:firstLine="454"/>
      </w:pPr>
      <w:r>
        <w:rPr>
          <w:rFonts w:ascii="Times New Roman" w:hAnsi="Times New Roman"/>
        </w:rPr>
        <w:t>7.1. Обработка персональных данных граждан Российской Федерации, включая их запись, систематизацию, накопление, хранение, уточнение и извлечение, осуществляется с использованием баз данных, расположенных на территории Российской Федерации, в соответствии с частью 5 статьи 18 Федерального закона № 152-ФЗ.</w:t>
      </w:r>
    </w:p>
    <w:p>
      <w:pPr>
        <w:spacing w:after="120"/>
        <w:ind w:firstLine="454"/>
      </w:pPr>
      <w:r>
        <w:rPr>
          <w:rFonts w:ascii="Times New Roman" w:hAnsi="Times New Roman"/>
        </w:rPr>
        <w:t>7.2. Трансграничная передача персональных данных по настоящему Поручению не осуществляется.</w:t>
      </w:r>
    </w:p>
    <w:p>
      <w:pPr>
        <w:keepNext/>
        <w:spacing w:before="240" w:after="120"/>
      </w:pPr>
      <w:r>
        <w:rPr>
          <w:rFonts w:ascii="Times New Roman" w:hAnsi="Times New Roman"/>
          <w:b/>
          <w:sz w:val="22"/>
        </w:rPr>
        <w:t>8. СРОКИ ОБРАБОТКИ И ХРАНЕНИЯ</w:t>
      </w:r>
    </w:p>
    <w:p>
      <w:pPr>
        <w:spacing w:after="120"/>
        <w:ind w:firstLine="454"/>
      </w:pPr>
      <w:r>
        <w:rPr>
          <w:rFonts w:ascii="Times New Roman" w:hAnsi="Times New Roman"/>
        </w:rPr>
        <w:t>8.1. Обработка осуществляется в течение срока действия настоящего Договора.</w:t>
      </w:r>
    </w:p>
    <w:p>
      <w:pPr>
        <w:spacing w:after="120"/>
        <w:ind w:firstLine="454"/>
      </w:pPr>
      <w:r>
        <w:rPr>
          <w:rFonts w:ascii="Times New Roman" w:hAnsi="Times New Roman"/>
        </w:rPr>
        <w:t>8.2. Срок хранения аудиозаписей и транскрибаций определяется Спецификацией. При отсутствии указания срок составляет 90 (девяносто) календарных дней с даты соответствующей коммуникации.</w:t>
      </w:r>
    </w:p>
    <w:p>
      <w:pPr>
        <w:spacing w:after="120"/>
        <w:ind w:firstLine="454"/>
      </w:pPr>
      <w:r>
        <w:rPr>
          <w:rFonts w:ascii="Times New Roman" w:hAnsi="Times New Roman"/>
        </w:rPr>
        <w:t>8.3. Сведения об объёме использования Платформы, необходимые для расчётов и подтверждения исполнения обязательств, хранятся в течение срока исковой давности.</w:t>
      </w:r>
    </w:p>
    <w:p>
      <w:pPr>
        <w:keepNext/>
        <w:spacing w:before="240" w:after="120"/>
      </w:pPr>
      <w:r>
        <w:rPr>
          <w:rFonts w:ascii="Times New Roman" w:hAnsi="Times New Roman"/>
          <w:b/>
          <w:sz w:val="22"/>
        </w:rPr>
        <w:t>9. ОБРАЩЕНИЯ СУБЪЕКТОВ И ВЗАИМОДЕЙСТВИЕ С УПОЛНОМОЧЕННЫМ ОРГАНОМ</w:t>
      </w:r>
    </w:p>
    <w:p>
      <w:pPr>
        <w:spacing w:after="120"/>
        <w:ind w:firstLine="454"/>
      </w:pPr>
      <w:r>
        <w:rPr>
          <w:rFonts w:ascii="Times New Roman" w:hAnsi="Times New Roman"/>
        </w:rPr>
        <w:t>9.1. Обращения субъектов персональных данных рассматривает Клиент как оператор. Партнёр обеспечивает получение и передачу таких обращений.</w:t>
      </w:r>
    </w:p>
    <w:p>
      <w:pPr>
        <w:spacing w:after="120"/>
        <w:ind w:firstLine="454"/>
      </w:pPr>
      <w:r>
        <w:rPr>
          <w:rFonts w:ascii="Times New Roman" w:hAnsi="Times New Roman"/>
        </w:rPr>
        <w:t>9.2. При получении обращения субъекта напрямую Партнёр не отвечает по существу и передаёт обращение Клиенту в течение 3 (трёх) рабочих дней.</w:t>
      </w:r>
    </w:p>
    <w:p>
      <w:pPr>
        <w:spacing w:after="120"/>
        <w:ind w:firstLine="454"/>
      </w:pPr>
      <w:r>
        <w:rPr>
          <w:rFonts w:ascii="Times New Roman" w:hAnsi="Times New Roman"/>
        </w:rPr>
        <w:t>9.3. По запросу Клиента Партнёр в течение 5 (пяти) рабочих дней предоставляет сведения, необходимые для ответа субъекту, либо блокирует или удаляет данные конкретного субъекта.</w:t>
      </w:r>
    </w:p>
    <w:p>
      <w:pPr>
        <w:spacing w:after="120"/>
        <w:ind w:firstLine="454"/>
      </w:pPr>
      <w:r>
        <w:rPr>
          <w:rFonts w:ascii="Times New Roman" w:hAnsi="Times New Roman"/>
        </w:rPr>
        <w:t>9.4. При получении запроса уполномоченного органа по защите прав субъектов персональных данных Партнёр уведомляет Клиента не позднее следующего рабочего дня, если уведомление не запрещено законом.</w:t>
      </w:r>
    </w:p>
    <w:p>
      <w:pPr>
        <w:keepNext/>
        <w:spacing w:before="240" w:after="120"/>
      </w:pPr>
      <w:r>
        <w:rPr>
          <w:rFonts w:ascii="Times New Roman" w:hAnsi="Times New Roman"/>
          <w:b/>
          <w:sz w:val="22"/>
        </w:rPr>
        <w:t>10. ИНЦИДЕНТЫ</w:t>
      </w:r>
    </w:p>
    <w:p>
      <w:pPr>
        <w:spacing w:after="120"/>
        <w:ind w:firstLine="454"/>
      </w:pPr>
      <w:r>
        <w:rPr>
          <w:rFonts w:ascii="Times New Roman" w:hAnsi="Times New Roman"/>
        </w:rPr>
        <w:t>10.1. При выявлении инцидента, повлёкшего неправомерную или случайную передачу, уничтожение, изменение, блокирование или доступ к персональным данным, Партнёр уведомляет Клиента незамедлительно, но не позднее 12 (двенадцати) часов с момента выявления.</w:t>
      </w:r>
    </w:p>
    <w:p>
      <w:pPr>
        <w:spacing w:after="120"/>
        <w:ind w:firstLine="454"/>
      </w:pPr>
      <w:r>
        <w:rPr>
          <w:rFonts w:ascii="Times New Roman" w:hAnsi="Times New Roman"/>
        </w:rPr>
        <w:t>10.2. В уведомлении указываются: обстоятельства инцидента, предполагаемые причины, категории и ориентировочный объём затронутых данных, предпринятые и планируемые меры.</w:t>
      </w:r>
    </w:p>
    <w:p>
      <w:pPr>
        <w:spacing w:after="120"/>
        <w:ind w:firstLine="454"/>
      </w:pPr>
      <w:r>
        <w:rPr>
          <w:rFonts w:ascii="Times New Roman" w:hAnsi="Times New Roman"/>
        </w:rPr>
        <w:t>10.3. Партнёр предоставляет содействие, необходимое для исполнения Клиентом обязанностей по уведомлению уполномоченного органа в течение 24 (двадцати четырёх) часов и по направлению результатов внутреннего расследования в течение 72 (семидесяти двух) часов.</w:t>
      </w:r>
    </w:p>
    <w:p>
      <w:pPr>
        <w:keepNext/>
        <w:spacing w:before="240" w:after="120"/>
      </w:pPr>
      <w:r>
        <w:rPr>
          <w:rFonts w:ascii="Times New Roman" w:hAnsi="Times New Roman"/>
          <w:b/>
          <w:sz w:val="22"/>
        </w:rPr>
        <w:t>11. ПРЕКРАЩЕНИЕ ОБРАБОТКИ</w:t>
      </w:r>
    </w:p>
    <w:p>
      <w:pPr>
        <w:spacing w:after="120"/>
        <w:ind w:firstLine="454"/>
      </w:pPr>
      <w:r>
        <w:rPr>
          <w:rFonts w:ascii="Times New Roman" w:hAnsi="Times New Roman"/>
        </w:rPr>
        <w:t>11.1. Обработка прекращается при прекращении настоящего Договора либо по письменному указанию Клиента.</w:t>
      </w:r>
    </w:p>
    <w:p>
      <w:pPr>
        <w:spacing w:after="120"/>
        <w:ind w:firstLine="454"/>
      </w:pPr>
      <w:r>
        <w:rPr>
          <w:rFonts w:ascii="Times New Roman" w:hAnsi="Times New Roman"/>
        </w:rPr>
        <w:t>11.2. В течение 30 (тридцати) календарных дней с даты прекращения Клиент вправе запросить выгрузку данных. По истечении этого срока Партнёр прекращает обработку и уничтожает персональные данные, за исключением данных, подлежащих хранению в силу закона, и сведений, необходимых для расчётов и защиты прав Сторон.</w:t>
      </w:r>
    </w:p>
    <w:p>
      <w:pPr>
        <w:spacing w:after="120"/>
        <w:ind w:firstLine="454"/>
      </w:pPr>
      <w:r>
        <w:rPr>
          <w:rFonts w:ascii="Times New Roman" w:hAnsi="Times New Roman"/>
        </w:rPr>
        <w:t>11.3. По запросу Клиента Партнёр подтверждает факт уничтожения в порядке, установленном законодательством.</w:t>
      </w:r>
    </w:p>
    <w:p>
      <w:pPr>
        <w:keepNext/>
        <w:spacing w:before="240" w:after="120"/>
      </w:pPr>
      <w:r>
        <w:rPr>
          <w:rFonts w:ascii="Times New Roman" w:hAnsi="Times New Roman"/>
          <w:b/>
          <w:sz w:val="22"/>
        </w:rPr>
        <w:t>12. ОТВЕТСТВЕННОСТЬ</w:t>
      </w:r>
    </w:p>
    <w:p>
      <w:pPr>
        <w:spacing w:after="120"/>
        <w:ind w:firstLine="454"/>
      </w:pPr>
      <w:r>
        <w:rPr>
          <w:rFonts w:ascii="Times New Roman" w:hAnsi="Times New Roman"/>
        </w:rPr>
        <w:t>12.1. Ответственность Сторон определяется настоящим Договором. Ограничение размера ответственности, установленное пунктом 7.4 Договора, не применяется к нарушениям в области персональных данных.</w:t>
      </w:r>
    </w:p>
    <w:tbl>
      <w:tblPr>
        <w:tblStyle w:val="TableGrid"/>
        <w:tblW w:type="auto" w:w="0"/>
        <w:jc w:val="center"/>
        <w:tblLook w:firstColumn="1" w:firstRow="1" w:lastColumn="0" w:lastRow="0" w:noHBand="0" w:noVBand="1" w:val="04A0"/>
      </w:tblPr>
      <w:tblGrid>
        <w:gridCol w:w="4677"/>
        <w:gridCol w:w="4677"/>
      </w:tblGrid>
      <w:tr>
        <w:tc>
          <w:tcPr>
            <w:tcW w:type="dxa" w:w="4762"/>
          </w:tcPr>
          <w:p>
            <w:pPr>
              <w:spacing w:after="40"/>
              <w:jc w:val="left"/>
            </w:pPr>
            <w:r/>
            <w:r>
              <w:rPr>
                <w:rFonts w:ascii="Times New Roman" w:hAnsi="Times New Roman"/>
                <w:b/>
                <w:sz w:val="20"/>
              </w:rPr>
              <w:t>КЛИЕНТ</w:t>
            </w:r>
          </w:p>
        </w:tc>
        <w:tc>
          <w:tcPr>
            <w:tcW w:type="dxa" w:w="4762"/>
          </w:tcPr>
          <w:p>
            <w:pPr>
              <w:spacing w:after="40"/>
              <w:jc w:val="left"/>
            </w:pPr>
            <w:r/>
            <w:r>
              <w:rPr>
                <w:rFonts w:ascii="Times New Roman" w:hAnsi="Times New Roman"/>
                <w:b/>
                <w:sz w:val="20"/>
              </w:rPr>
              <w:t>ПАРТНЁР</w:t>
            </w:r>
          </w:p>
        </w:tc>
      </w:tr>
      <w:tr>
        <w:tc>
          <w:tcPr>
            <w:tcW w:type="dxa" w:w="4762"/>
          </w:tcPr>
          <w:p>
            <w:pPr>
              <w:spacing w:after="40"/>
              <w:jc w:val="left"/>
            </w:pPr>
            <w:r/>
            <w:r>
              <w:rPr>
                <w:rFonts w:ascii="Times New Roman" w:hAnsi="Times New Roman"/>
                <w:sz w:val="20"/>
              </w:rPr>
              <w:t xml:space="preserve">_________________ / </w:t>
            </w:r>
            <w:r>
              <w:rPr>
                <w:rFonts w:ascii="Times New Roman" w:hAnsi="Times New Roman"/>
                <w:b/>
                <w:color w:val="B00000"/>
                <w:sz w:val="20"/>
              </w:rPr>
              <w:t>ФИО</w:t>
            </w:r>
            <w:r>
              <w:rPr>
                <w:rFonts w:ascii="Times New Roman" w:hAnsi="Times New Roman"/>
                <w:sz w:val="20"/>
              </w:rPr>
              <w:t xml:space="preserve"> /</w:t>
              <w:br/>
              <w:br/>
              <w:t>«___» ____________ 20___ г.</w:t>
            </w:r>
          </w:p>
        </w:tc>
        <w:tc>
          <w:tcPr>
            <w:tcW w:type="dxa" w:w="4762"/>
          </w:tcPr>
          <w:p>
            <w:pPr>
              <w:spacing w:after="40"/>
              <w:jc w:val="left"/>
            </w:pPr>
            <w:r/>
            <w:r>
              <w:rPr>
                <w:rFonts w:ascii="Times New Roman" w:hAnsi="Times New Roman"/>
                <w:sz w:val="20"/>
              </w:rPr>
              <w:t xml:space="preserve">_________________ / </w:t>
            </w:r>
            <w:r>
              <w:rPr>
                <w:rFonts w:ascii="Times New Roman" w:hAnsi="Times New Roman"/>
                <w:b/>
                <w:color w:val="B00000"/>
                <w:sz w:val="20"/>
              </w:rPr>
              <w:t>ФИО</w:t>
            </w:r>
            <w:r>
              <w:rPr>
                <w:rFonts w:ascii="Times New Roman" w:hAnsi="Times New Roman"/>
                <w:sz w:val="20"/>
              </w:rPr>
              <w:t xml:space="preserve"> /</w:t>
              <w:br/>
              <w:br/>
              <w:t>«___» ____________ 20___ г.</w:t>
            </w:r>
          </w:p>
        </w:tc>
      </w:tr>
    </w:tbl>
    <w:p>
      <w:pPr>
        <w:spacing w:after="40"/>
      </w:pPr>
    </w:p>
    <w:p>
      <w:r>
        <w:br w:type="page"/>
      </w:r>
    </w:p>
    <w:p>
      <w:pPr>
        <w:spacing w:after="80"/>
        <w:jc w:val="center"/>
      </w:pPr>
      <w:r>
        <w:rPr>
          <w:rFonts w:ascii="Times New Roman" w:hAnsi="Times New Roman"/>
          <w:b/>
          <w:sz w:val="28"/>
        </w:rPr>
        <w:t>ПРИЛОЖЕНИЕ № 2</w:t>
      </w:r>
    </w:p>
    <w:p>
      <w:pPr>
        <w:spacing w:after="280"/>
        <w:jc w:val="center"/>
      </w:pPr>
      <w:r>
        <w:rPr>
          <w:rFonts w:ascii="Times New Roman" w:hAnsi="Times New Roman"/>
          <w:b/>
          <w:sz w:val="22"/>
        </w:rPr>
        <w:t xml:space="preserve">к Сублицензионному договору № </w:t>
      </w:r>
      <w:r>
        <w:rPr>
          <w:rFonts w:ascii="Times New Roman" w:hAnsi="Times New Roman"/>
          <w:b/>
          <w:color w:val="B00000"/>
          <w:sz w:val="22"/>
        </w:rPr>
        <w:t>___/___</w:t>
      </w:r>
      <w:r>
        <w:rPr>
          <w:rFonts w:ascii="Times New Roman" w:hAnsi="Times New Roman"/>
          <w:b/>
          <w:sz w:val="22"/>
        </w:rPr>
        <w:t xml:space="preserve"> от «___» __________ 20___ г.</w:t>
        <w:br/>
        <w:t>СПЕЦИФИКАЦИЯ № 1</w:t>
      </w:r>
    </w:p>
    <w:p>
      <w:pPr>
        <w:spacing w:after="120"/>
        <w:ind w:firstLine="454"/>
      </w:pPr>
      <w:r>
        <w:rPr>
          <w:rFonts w:ascii="Times New Roman" w:hAnsi="Times New Roman"/>
          <w:b/>
          <w:color w:val="B00000"/>
        </w:rPr>
        <w:t>ПОЛНОЕ НАИМЕНОВАНИЕ КЛИЕНТА</w:t>
      </w:r>
      <w:r>
        <w:rPr>
          <w:rFonts w:ascii="Times New Roman" w:hAnsi="Times New Roman"/>
        </w:rPr>
        <w:t xml:space="preserve"> («Клиент») и Индивидуальный предприниматель </w:t>
      </w:r>
      <w:r>
        <w:rPr>
          <w:rFonts w:ascii="Times New Roman" w:hAnsi="Times New Roman"/>
          <w:b/>
          <w:color w:val="B00000"/>
        </w:rPr>
        <w:t>ФИО ПАРТНЁРА</w:t>
      </w:r>
      <w:r>
        <w:rPr>
          <w:rFonts w:ascii="Times New Roman" w:hAnsi="Times New Roman"/>
        </w:rPr>
        <w:t xml:space="preserve"> («Партнёр») согласовали настоящую Спецификацию как неотъемлемую часть Сублицензионного договора.</w:t>
      </w:r>
    </w:p>
    <w:p>
      <w:pPr>
        <w:keepNext/>
        <w:spacing w:before="240" w:after="120"/>
      </w:pPr>
      <w:r>
        <w:rPr>
          <w:rFonts w:ascii="Times New Roman" w:hAnsi="Times New Roman"/>
          <w:b/>
          <w:sz w:val="22"/>
        </w:rPr>
        <w:t>1. СОСТАВ ПРАВА ИСПОЛЬЗОВАНИЯ</w:t>
      </w:r>
    </w:p>
    <w:tbl>
      <w:tblPr>
        <w:tblStyle w:val="TableGrid"/>
        <w:tblW w:type="auto" w:w="0"/>
        <w:jc w:val="center"/>
        <w:tblLook w:firstColumn="1" w:firstRow="1" w:lastColumn="0" w:lastRow="0" w:noHBand="0" w:noVBand="1" w:val="04A0"/>
      </w:tblPr>
      <w:tblGrid>
        <w:gridCol w:w="4677"/>
        <w:gridCol w:w="4677"/>
      </w:tblGrid>
      <w:tr>
        <w:tc>
          <w:tcPr>
            <w:tcW w:type="dxa" w:w="3402"/>
          </w:tcPr>
          <w:p>
            <w:pPr>
              <w:spacing w:after="40"/>
              <w:jc w:val="left"/>
            </w:pPr>
            <w:r/>
            <w:r>
              <w:rPr>
                <w:rFonts w:ascii="Times New Roman" w:hAnsi="Times New Roman"/>
                <w:b/>
                <w:sz w:val="20"/>
              </w:rPr>
              <w:t>Параметр</w:t>
            </w:r>
          </w:p>
        </w:tc>
        <w:tc>
          <w:tcPr>
            <w:tcW w:type="dxa" w:w="6123"/>
          </w:tcPr>
          <w:p>
            <w:pPr>
              <w:spacing w:after="40"/>
              <w:jc w:val="left"/>
            </w:pPr>
            <w:r/>
            <w:r>
              <w:rPr>
                <w:rFonts w:ascii="Times New Roman" w:hAnsi="Times New Roman"/>
                <w:b/>
                <w:sz w:val="20"/>
              </w:rPr>
              <w:t>Значение</w:t>
            </w:r>
          </w:p>
        </w:tc>
      </w:tr>
      <w:tr>
        <w:tc>
          <w:tcPr>
            <w:tcW w:type="dxa" w:w="3402"/>
          </w:tcPr>
          <w:p>
            <w:pPr>
              <w:spacing w:after="40"/>
              <w:jc w:val="left"/>
            </w:pPr>
            <w:r/>
            <w:r>
              <w:rPr>
                <w:rFonts w:ascii="Times New Roman" w:hAnsi="Times New Roman"/>
                <w:sz w:val="20"/>
              </w:rPr>
              <w:t>Тип Агента (Агентов)</w:t>
            </w:r>
          </w:p>
        </w:tc>
        <w:tc>
          <w:tcPr>
            <w:tcW w:type="dxa" w:w="6123"/>
          </w:tcPr>
          <w:p>
            <w:pPr>
              <w:spacing w:after="40"/>
              <w:jc w:val="left"/>
            </w:pPr>
            <w:r/>
            <w:r>
              <w:rPr>
                <w:rFonts w:ascii="Times New Roman" w:hAnsi="Times New Roman"/>
                <w:b/>
                <w:color w:val="B00000"/>
                <w:sz w:val="20"/>
              </w:rPr>
              <w:t>режим линии и ставка за минуту — по Спецификации</w:t>
            </w:r>
          </w:p>
        </w:tc>
      </w:tr>
      <w:tr>
        <w:tc>
          <w:tcPr>
            <w:tcW w:type="dxa" w:w="3402"/>
          </w:tcPr>
          <w:p>
            <w:pPr>
              <w:spacing w:after="40"/>
              <w:jc w:val="left"/>
            </w:pPr>
            <w:r/>
            <w:r>
              <w:rPr>
                <w:rFonts w:ascii="Times New Roman" w:hAnsi="Times New Roman"/>
                <w:sz w:val="20"/>
              </w:rPr>
              <w:t>Количество учётных записей</w:t>
            </w:r>
          </w:p>
        </w:tc>
        <w:tc>
          <w:tcPr>
            <w:tcW w:type="dxa" w:w="6123"/>
          </w:tcPr>
          <w:p>
            <w:pPr>
              <w:spacing w:after="40"/>
              <w:jc w:val="left"/>
            </w:pPr>
            <w:r/>
            <w:r>
              <w:rPr>
                <w:rFonts w:ascii="Times New Roman" w:hAnsi="Times New Roman"/>
                <w:b/>
                <w:color w:val="B00000"/>
                <w:sz w:val="20"/>
              </w:rPr>
              <w:t>___</w:t>
            </w:r>
          </w:p>
        </w:tc>
      </w:tr>
      <w:tr>
        <w:tc>
          <w:tcPr>
            <w:tcW w:type="dxa" w:w="3402"/>
          </w:tcPr>
          <w:p>
            <w:pPr>
              <w:spacing w:after="40"/>
              <w:jc w:val="left"/>
            </w:pPr>
            <w:r/>
            <w:r>
              <w:rPr>
                <w:rFonts w:ascii="Times New Roman" w:hAnsi="Times New Roman"/>
                <w:sz w:val="20"/>
              </w:rPr>
              <w:t>Номера телефонов / каналы</w:t>
            </w:r>
          </w:p>
        </w:tc>
        <w:tc>
          <w:tcPr>
            <w:tcW w:type="dxa" w:w="6123"/>
          </w:tcPr>
          <w:p>
            <w:pPr>
              <w:spacing w:after="40"/>
              <w:jc w:val="left"/>
            </w:pPr>
            <w:r/>
            <w:r>
              <w:rPr>
                <w:rFonts w:ascii="Times New Roman" w:hAnsi="Times New Roman"/>
                <w:b/>
                <w:color w:val="B00000"/>
                <w:sz w:val="20"/>
              </w:rPr>
              <w:t>перечень номеров или «номер Партнёра по переадресации»</w:t>
            </w:r>
          </w:p>
        </w:tc>
      </w:tr>
      <w:tr>
        <w:tc>
          <w:tcPr>
            <w:tcW w:type="dxa" w:w="3402"/>
          </w:tcPr>
          <w:p>
            <w:pPr>
              <w:spacing w:after="40"/>
              <w:jc w:val="left"/>
            </w:pPr>
            <w:r/>
            <w:r>
              <w:rPr>
                <w:rFonts w:ascii="Times New Roman" w:hAnsi="Times New Roman"/>
                <w:sz w:val="20"/>
              </w:rPr>
              <w:t>Срок хранения записей разговоров</w:t>
            </w:r>
          </w:p>
        </w:tc>
        <w:tc>
          <w:tcPr>
            <w:tcW w:type="dxa" w:w="6123"/>
          </w:tcPr>
          <w:p>
            <w:pPr>
              <w:spacing w:after="40"/>
              <w:jc w:val="left"/>
            </w:pPr>
            <w:r/>
            <w:r>
              <w:rPr>
                <w:rFonts w:ascii="Times New Roman" w:hAnsi="Times New Roman"/>
                <w:b/>
                <w:color w:val="B00000"/>
                <w:sz w:val="20"/>
              </w:rPr>
              <w:t>90</w:t>
            </w:r>
            <w:r>
              <w:rPr>
                <w:rFonts w:ascii="Times New Roman" w:hAnsi="Times New Roman"/>
                <w:sz w:val="20"/>
              </w:rPr>
              <w:t xml:space="preserve"> календарных дней</w:t>
            </w:r>
          </w:p>
        </w:tc>
      </w:tr>
      <w:tr>
        <w:tc>
          <w:tcPr>
            <w:tcW w:type="dxa" w:w="3402"/>
          </w:tcPr>
          <w:p>
            <w:pPr>
              <w:spacing w:after="40"/>
              <w:jc w:val="left"/>
            </w:pPr>
            <w:r/>
            <w:r>
              <w:rPr>
                <w:rFonts w:ascii="Times New Roman" w:hAnsi="Times New Roman"/>
                <w:sz w:val="20"/>
              </w:rPr>
              <w:t>Интеграции</w:t>
            </w:r>
          </w:p>
        </w:tc>
        <w:tc>
          <w:tcPr>
            <w:tcW w:type="dxa" w:w="6123"/>
          </w:tcPr>
          <w:p>
            <w:pPr>
              <w:spacing w:after="40"/>
              <w:jc w:val="left"/>
            </w:pPr>
            <w:r/>
            <w:r>
              <w:rPr>
                <w:rFonts w:ascii="Times New Roman" w:hAnsi="Times New Roman"/>
                <w:b/>
                <w:color w:val="B00000"/>
                <w:sz w:val="20"/>
              </w:rPr>
              <w:t>CRM: amoCRM / Битрикс24 / таблица; телефония; мессенджеры</w:t>
            </w:r>
          </w:p>
        </w:tc>
      </w:tr>
      <w:tr>
        <w:tc>
          <w:tcPr>
            <w:tcW w:type="dxa" w:w="3402"/>
          </w:tcPr>
          <w:p>
            <w:pPr>
              <w:spacing w:after="40"/>
              <w:jc w:val="left"/>
            </w:pPr>
            <w:r/>
            <w:r>
              <w:rPr>
                <w:rFonts w:ascii="Times New Roman" w:hAnsi="Times New Roman"/>
                <w:sz w:val="20"/>
              </w:rPr>
              <w:t>Согласованный месячный объём</w:t>
            </w:r>
          </w:p>
        </w:tc>
        <w:tc>
          <w:tcPr>
            <w:tcW w:type="dxa" w:w="6123"/>
          </w:tcPr>
          <w:p>
            <w:pPr>
              <w:spacing w:after="40"/>
              <w:jc w:val="left"/>
            </w:pPr>
            <w:r/>
            <w:r>
              <w:rPr>
                <w:rFonts w:ascii="Times New Roman" w:hAnsi="Times New Roman"/>
                <w:b/>
                <w:color w:val="B00000"/>
                <w:sz w:val="20"/>
              </w:rPr>
              <w:t>___</w:t>
            </w:r>
            <w:r>
              <w:rPr>
                <w:rFonts w:ascii="Times New Roman" w:hAnsi="Times New Roman"/>
                <w:sz w:val="20"/>
              </w:rPr>
              <w:t xml:space="preserve"> минут (лимит по учётной записи)</w:t>
            </w:r>
          </w:p>
        </w:tc>
      </w:tr>
    </w:tbl>
    <w:p>
      <w:pPr>
        <w:spacing w:after="40"/>
      </w:pPr>
    </w:p>
    <w:p>
      <w:pPr>
        <w:keepNext/>
        <w:spacing w:before="240" w:after="120"/>
      </w:pPr>
      <w:r>
        <w:rPr>
          <w:rFonts w:ascii="Times New Roman" w:hAnsi="Times New Roman"/>
          <w:b/>
          <w:sz w:val="22"/>
        </w:rPr>
        <w:t>2. СОСТАВ И СТОИМОСТЬ УСЛУГ ПАРТНЁРА</w:t>
      </w:r>
    </w:p>
    <w:tbl>
      <w:tblPr>
        <w:tblStyle w:val="TableGrid"/>
        <w:tblW w:type="auto" w:w="0"/>
        <w:jc w:val="center"/>
        <w:tblLook w:firstColumn="1" w:firstRow="1" w:lastColumn="0" w:lastRow="0" w:noHBand="0" w:noVBand="1" w:val="04A0"/>
      </w:tblPr>
      <w:tblGrid>
        <w:gridCol w:w="3118"/>
        <w:gridCol w:w="3118"/>
        <w:gridCol w:w="3118"/>
      </w:tblGrid>
      <w:tr>
        <w:tc>
          <w:tcPr>
            <w:tcW w:type="dxa" w:w="4535"/>
          </w:tcPr>
          <w:p>
            <w:pPr>
              <w:spacing w:after="40"/>
              <w:jc w:val="left"/>
            </w:pPr>
            <w:r/>
            <w:r>
              <w:rPr>
                <w:rFonts w:ascii="Times New Roman" w:hAnsi="Times New Roman"/>
                <w:b/>
                <w:sz w:val="20"/>
              </w:rPr>
              <w:t>Услуга</w:t>
            </w:r>
          </w:p>
        </w:tc>
        <w:tc>
          <w:tcPr>
            <w:tcW w:type="dxa" w:w="2835"/>
          </w:tcPr>
          <w:p>
            <w:pPr>
              <w:spacing w:after="40"/>
              <w:jc w:val="left"/>
            </w:pPr>
            <w:r/>
            <w:r>
              <w:rPr>
                <w:rFonts w:ascii="Times New Roman" w:hAnsi="Times New Roman"/>
                <w:b/>
                <w:sz w:val="20"/>
              </w:rPr>
              <w:t>Стоимость</w:t>
            </w:r>
          </w:p>
        </w:tc>
        <w:tc>
          <w:tcPr>
            <w:tcW w:type="dxa" w:w="2154"/>
          </w:tcPr>
          <w:p>
            <w:pPr>
              <w:spacing w:after="40"/>
              <w:jc w:val="left"/>
            </w:pPr>
            <w:r/>
            <w:r>
              <w:rPr>
                <w:rFonts w:ascii="Times New Roman" w:hAnsi="Times New Roman"/>
                <w:b/>
                <w:sz w:val="20"/>
              </w:rPr>
              <w:t>Срок</w:t>
            </w:r>
          </w:p>
        </w:tc>
      </w:tr>
      <w:tr>
        <w:tc>
          <w:tcPr>
            <w:tcW w:type="dxa" w:w="4535"/>
          </w:tcPr>
          <w:p>
            <w:pPr>
              <w:spacing w:after="40"/>
              <w:jc w:val="left"/>
            </w:pPr>
            <w:r/>
            <w:r>
              <w:rPr>
                <w:rFonts w:ascii="Times New Roman" w:hAnsi="Times New Roman"/>
                <w:sz w:val="20"/>
              </w:rPr>
              <w:t>Внедрение и настройка Агента (включая подготовку Сценария, подключение телефонии и CRM, обучение работников Клиента)</w:t>
            </w:r>
          </w:p>
        </w:tc>
        <w:tc>
          <w:tcPr>
            <w:tcW w:type="dxa" w:w="2835"/>
          </w:tcPr>
          <w:p>
            <w:pPr>
              <w:spacing w:after="40"/>
              <w:jc w:val="left"/>
            </w:pPr>
            <w:r/>
            <w:r>
              <w:rPr>
                <w:rFonts w:ascii="Times New Roman" w:hAnsi="Times New Roman"/>
                <w:b/>
                <w:color w:val="B00000"/>
                <w:sz w:val="20"/>
              </w:rPr>
              <w:t>__________</w:t>
            </w:r>
            <w:r>
              <w:rPr>
                <w:rFonts w:ascii="Times New Roman" w:hAnsi="Times New Roman"/>
                <w:sz w:val="20"/>
              </w:rPr>
              <w:t xml:space="preserve"> ₽ разово</w:t>
            </w:r>
          </w:p>
        </w:tc>
        <w:tc>
          <w:tcPr>
            <w:tcW w:type="dxa" w:w="2154"/>
          </w:tcPr>
          <w:p>
            <w:pPr>
              <w:spacing w:after="40"/>
              <w:jc w:val="left"/>
            </w:pPr>
            <w:r/>
            <w:r>
              <w:rPr>
                <w:rFonts w:ascii="Times New Roman" w:hAnsi="Times New Roman"/>
                <w:b/>
                <w:color w:val="B00000"/>
                <w:sz w:val="20"/>
              </w:rPr>
              <w:t>___</w:t>
            </w:r>
            <w:r>
              <w:rPr>
                <w:rFonts w:ascii="Times New Roman" w:hAnsi="Times New Roman"/>
                <w:sz w:val="20"/>
              </w:rPr>
              <w:t xml:space="preserve"> рабочих дней</w:t>
            </w:r>
          </w:p>
        </w:tc>
      </w:tr>
      <w:tr>
        <w:tc>
          <w:tcPr>
            <w:tcW w:type="dxa" w:w="4535"/>
          </w:tcPr>
          <w:p>
            <w:pPr>
              <w:spacing w:after="40"/>
              <w:jc w:val="left"/>
            </w:pPr>
            <w:r/>
            <w:r>
              <w:rPr>
                <w:rFonts w:ascii="Times New Roman" w:hAnsi="Times New Roman"/>
                <w:sz w:val="20"/>
              </w:rPr>
              <w:t>Сопровождение: ведение Агента, дообучение по реальным разговорам, контроль качества, ежемесячный отчёт</w:t>
            </w:r>
          </w:p>
        </w:tc>
        <w:tc>
          <w:tcPr>
            <w:tcW w:type="dxa" w:w="2835"/>
          </w:tcPr>
          <w:p>
            <w:pPr>
              <w:spacing w:after="40"/>
              <w:jc w:val="left"/>
            </w:pPr>
            <w:r/>
            <w:r>
              <w:rPr>
                <w:rFonts w:ascii="Times New Roman" w:hAnsi="Times New Roman"/>
                <w:b/>
                <w:color w:val="B00000"/>
                <w:sz w:val="20"/>
              </w:rPr>
              <w:t>__________</w:t>
            </w:r>
            <w:r>
              <w:rPr>
                <w:rFonts w:ascii="Times New Roman" w:hAnsi="Times New Roman"/>
                <w:sz w:val="20"/>
              </w:rPr>
              <w:t xml:space="preserve"> ₽ в месяц</w:t>
            </w:r>
          </w:p>
        </w:tc>
        <w:tc>
          <w:tcPr>
            <w:tcW w:type="dxa" w:w="2154"/>
          </w:tcPr>
          <w:p>
            <w:pPr>
              <w:spacing w:after="40"/>
              <w:jc w:val="left"/>
            </w:pPr>
            <w:r/>
            <w:r>
              <w:rPr>
                <w:rFonts w:ascii="Times New Roman" w:hAnsi="Times New Roman"/>
                <w:sz w:val="20"/>
              </w:rPr>
              <w:t>ежемесячно</w:t>
            </w:r>
          </w:p>
        </w:tc>
      </w:tr>
      <w:tr>
        <w:tc>
          <w:tcPr>
            <w:tcW w:type="dxa" w:w="4535"/>
          </w:tcPr>
          <w:p>
            <w:pPr>
              <w:spacing w:after="40"/>
              <w:jc w:val="left"/>
            </w:pPr>
            <w:r/>
            <w:r>
              <w:rPr>
                <w:rFonts w:ascii="Times New Roman" w:hAnsi="Times New Roman"/>
                <w:sz w:val="20"/>
              </w:rPr>
              <w:t xml:space="preserve">Дополнительно: </w:t>
            </w:r>
            <w:r>
              <w:rPr>
                <w:rFonts w:ascii="Times New Roman" w:hAnsi="Times New Roman"/>
                <w:b/>
                <w:color w:val="B00000"/>
                <w:sz w:val="20"/>
              </w:rPr>
              <w:t>обзвон базы · контроль качества разговоров живых операторов · комплаенс по маркировке вызовов</w:t>
            </w:r>
          </w:p>
        </w:tc>
        <w:tc>
          <w:tcPr>
            <w:tcW w:type="dxa" w:w="2835"/>
          </w:tcPr>
          <w:p>
            <w:pPr>
              <w:spacing w:after="40"/>
              <w:jc w:val="left"/>
            </w:pPr>
            <w:r/>
            <w:r>
              <w:rPr>
                <w:rFonts w:ascii="Times New Roman" w:hAnsi="Times New Roman"/>
                <w:b/>
                <w:color w:val="B00000"/>
                <w:sz w:val="20"/>
              </w:rPr>
              <w:t>__________</w:t>
            </w:r>
            <w:r>
              <w:rPr>
                <w:rFonts w:ascii="Times New Roman" w:hAnsi="Times New Roman"/>
                <w:sz w:val="20"/>
              </w:rPr>
              <w:t xml:space="preserve"> ₽</w:t>
            </w:r>
          </w:p>
        </w:tc>
        <w:tc>
          <w:tcPr>
            <w:tcW w:type="dxa" w:w="2154"/>
          </w:tcPr>
          <w:p>
            <w:pPr>
              <w:spacing w:after="40"/>
              <w:jc w:val="left"/>
            </w:pPr>
            <w:r/>
            <w:r>
              <w:rPr>
                <w:rFonts w:ascii="Times New Roman" w:hAnsi="Times New Roman"/>
                <w:b/>
                <w:color w:val="B00000"/>
                <w:sz w:val="20"/>
              </w:rPr>
              <w:t>__________</w:t>
            </w:r>
          </w:p>
        </w:tc>
      </w:tr>
    </w:tbl>
    <w:p>
      <w:pPr>
        <w:spacing w:after="40"/>
      </w:pPr>
    </w:p>
    <w:p>
      <w:pPr>
        <w:keepNext/>
        <w:spacing w:before="240" w:after="120"/>
      </w:pPr>
      <w:r>
        <w:rPr>
          <w:rFonts w:ascii="Times New Roman" w:hAnsi="Times New Roman"/>
          <w:b/>
          <w:sz w:val="22"/>
        </w:rPr>
        <w:t>3. СТОИМОСТЬ ПРАВА ИСПОЛЬЗОВАНИЯ</w:t>
      </w:r>
    </w:p>
    <w:p>
      <w:pPr>
        <w:spacing w:after="120"/>
        <w:ind w:firstLine="454"/>
      </w:pPr>
      <w:r>
        <w:rPr>
          <w:rFonts w:ascii="Times New Roman" w:hAnsi="Times New Roman"/>
        </w:rPr>
        <w:t>3.1. Цена права использования Платформы определяется по базовому тарифу Правообладателя, действующему на дату предоставления права, по фактически потреблённому объёму. Цена не превышает базовый тариф Правообладателя.</w:t>
      </w:r>
    </w:p>
    <w:tbl>
      <w:tblPr>
        <w:tblStyle w:val="TableGrid"/>
        <w:tblW w:type="auto" w:w="0"/>
        <w:jc w:val="center"/>
        <w:tblLook w:firstColumn="1" w:firstRow="1" w:lastColumn="0" w:lastRow="0" w:noHBand="0" w:noVBand="1" w:val="04A0"/>
      </w:tblPr>
      <w:tblGrid>
        <w:gridCol w:w="4677"/>
        <w:gridCol w:w="4677"/>
      </w:tblGrid>
      <w:tr>
        <w:tc>
          <w:tcPr>
            <w:tcW w:type="dxa" w:w="3402"/>
          </w:tcPr>
          <w:p>
            <w:pPr>
              <w:spacing w:after="40"/>
              <w:jc w:val="left"/>
            </w:pPr>
            <w:r/>
            <w:r>
              <w:rPr>
                <w:rFonts w:ascii="Times New Roman" w:hAnsi="Times New Roman"/>
                <w:b/>
                <w:sz w:val="20"/>
              </w:rPr>
              <w:t>Позиция</w:t>
            </w:r>
          </w:p>
        </w:tc>
        <w:tc>
          <w:tcPr>
            <w:tcW w:type="dxa" w:w="6123"/>
          </w:tcPr>
          <w:p>
            <w:pPr>
              <w:spacing w:after="40"/>
              <w:jc w:val="left"/>
            </w:pPr>
            <w:r/>
            <w:r>
              <w:rPr>
                <w:rFonts w:ascii="Times New Roman" w:hAnsi="Times New Roman"/>
                <w:b/>
                <w:sz w:val="20"/>
              </w:rPr>
              <w:t>Значение</w:t>
            </w:r>
          </w:p>
        </w:tc>
      </w:tr>
      <w:tr>
        <w:tc>
          <w:tcPr>
            <w:tcW w:type="dxa" w:w="3402"/>
          </w:tcPr>
          <w:p>
            <w:pPr>
              <w:spacing w:after="40"/>
              <w:jc w:val="left"/>
            </w:pPr>
            <w:r/>
            <w:r>
              <w:rPr>
                <w:rFonts w:ascii="Times New Roman" w:hAnsi="Times New Roman"/>
                <w:sz w:val="20"/>
              </w:rPr>
              <w:t>Цена за минуту разговора</w:t>
            </w:r>
          </w:p>
        </w:tc>
        <w:tc>
          <w:tcPr>
            <w:tcW w:type="dxa" w:w="6123"/>
          </w:tcPr>
          <w:p>
            <w:pPr>
              <w:spacing w:after="40"/>
              <w:jc w:val="left"/>
            </w:pPr>
            <w:r/>
            <w:r>
              <w:rPr>
                <w:rFonts w:ascii="Times New Roman" w:hAnsi="Times New Roman"/>
                <w:b/>
                <w:color w:val="B00000"/>
                <w:sz w:val="20"/>
              </w:rPr>
              <w:t>____</w:t>
            </w:r>
            <w:r>
              <w:rPr>
                <w:rFonts w:ascii="Times New Roman" w:hAnsi="Times New Roman"/>
                <w:sz w:val="20"/>
              </w:rPr>
              <w:t xml:space="preserve"> ₽/мин (не выше базового тарифа Правообладателя)</w:t>
            </w:r>
          </w:p>
        </w:tc>
      </w:tr>
      <w:tr>
        <w:tc>
          <w:tcPr>
            <w:tcW w:type="dxa" w:w="3402"/>
          </w:tcPr>
          <w:p>
            <w:pPr>
              <w:spacing w:after="40"/>
              <w:jc w:val="left"/>
            </w:pPr>
            <w:r/>
            <w:r>
              <w:rPr>
                <w:rFonts w:ascii="Times New Roman" w:hAnsi="Times New Roman"/>
                <w:sz w:val="20"/>
              </w:rPr>
              <w:t>Авансовый платёж</w:t>
            </w:r>
          </w:p>
        </w:tc>
        <w:tc>
          <w:tcPr>
            <w:tcW w:type="dxa" w:w="6123"/>
          </w:tcPr>
          <w:p>
            <w:pPr>
              <w:spacing w:after="40"/>
              <w:jc w:val="left"/>
            </w:pPr>
            <w:r/>
            <w:r>
              <w:rPr>
                <w:rFonts w:ascii="Times New Roman" w:hAnsi="Times New Roman"/>
                <w:b/>
                <w:color w:val="B00000"/>
                <w:sz w:val="20"/>
              </w:rPr>
              <w:t>__________</w:t>
            </w:r>
            <w:r>
              <w:rPr>
                <w:rFonts w:ascii="Times New Roman" w:hAnsi="Times New Roman"/>
                <w:sz w:val="20"/>
              </w:rPr>
              <w:t xml:space="preserve"> ₽</w:t>
            </w:r>
          </w:p>
        </w:tc>
      </w:tr>
      <w:tr>
        <w:tc>
          <w:tcPr>
            <w:tcW w:type="dxa" w:w="3402"/>
          </w:tcPr>
          <w:p>
            <w:pPr>
              <w:spacing w:after="40"/>
              <w:jc w:val="left"/>
            </w:pPr>
            <w:r/>
            <w:r>
              <w:rPr>
                <w:rFonts w:ascii="Times New Roman" w:hAnsi="Times New Roman"/>
                <w:sz w:val="20"/>
              </w:rPr>
              <w:t>Плата за сопровождение</w:t>
            </w:r>
          </w:p>
        </w:tc>
        <w:tc>
          <w:tcPr>
            <w:tcW w:type="dxa" w:w="6123"/>
          </w:tcPr>
          <w:p>
            <w:pPr>
              <w:spacing w:after="40"/>
              <w:jc w:val="left"/>
            </w:pPr>
            <w:r/>
            <w:r>
              <w:rPr>
                <w:rFonts w:ascii="Times New Roman" w:hAnsi="Times New Roman"/>
                <w:b/>
                <w:color w:val="B00000"/>
                <w:sz w:val="20"/>
              </w:rPr>
              <w:t>__________</w:t>
            </w:r>
            <w:r>
              <w:rPr>
                <w:rFonts w:ascii="Times New Roman" w:hAnsi="Times New Roman"/>
                <w:sz w:val="20"/>
              </w:rPr>
              <w:t xml:space="preserve"> ₽ в месяц, предоплата до 5-го числа</w:t>
            </w:r>
          </w:p>
        </w:tc>
      </w:tr>
    </w:tbl>
    <w:p>
      <w:pPr>
        <w:spacing w:after="40"/>
      </w:pPr>
    </w:p>
    <w:p>
      <w:pPr>
        <w:keepNext/>
        <w:spacing w:before="240" w:after="120"/>
      </w:pPr>
      <w:r>
        <w:rPr>
          <w:rFonts w:ascii="Times New Roman" w:hAnsi="Times New Roman"/>
          <w:b/>
          <w:sz w:val="22"/>
        </w:rPr>
        <w:t>4. КРИТЕРИИ КАЧЕСТВА И ТЕСТОВЫЙ ПЕРИОД</w:t>
      </w:r>
    </w:p>
    <w:tbl>
      <w:tblPr>
        <w:tblStyle w:val="TableGrid"/>
        <w:tblW w:type="auto" w:w="0"/>
        <w:jc w:val="center"/>
        <w:tblLook w:firstColumn="1" w:firstRow="1" w:lastColumn="0" w:lastRow="0" w:noHBand="0" w:noVBand="1" w:val="04A0"/>
      </w:tblPr>
      <w:tblGrid>
        <w:gridCol w:w="3118"/>
        <w:gridCol w:w="3118"/>
        <w:gridCol w:w="3118"/>
      </w:tblGrid>
      <w:tr>
        <w:tc>
          <w:tcPr>
            <w:tcW w:type="dxa" w:w="3061"/>
          </w:tcPr>
          <w:p>
            <w:pPr>
              <w:spacing w:after="40"/>
              <w:jc w:val="left"/>
            </w:pPr>
            <w:r/>
            <w:r>
              <w:rPr>
                <w:rFonts w:ascii="Times New Roman" w:hAnsi="Times New Roman"/>
                <w:b/>
                <w:sz w:val="20"/>
              </w:rPr>
              <w:t>Показатель</w:t>
            </w:r>
          </w:p>
        </w:tc>
        <w:tc>
          <w:tcPr>
            <w:tcW w:type="dxa" w:w="2835"/>
          </w:tcPr>
          <w:p>
            <w:pPr>
              <w:spacing w:after="40"/>
              <w:jc w:val="left"/>
            </w:pPr>
            <w:r/>
            <w:r>
              <w:rPr>
                <w:rFonts w:ascii="Times New Roman" w:hAnsi="Times New Roman"/>
                <w:b/>
                <w:sz w:val="20"/>
              </w:rPr>
              <w:t>Целевое значение</w:t>
            </w:r>
          </w:p>
        </w:tc>
        <w:tc>
          <w:tcPr>
            <w:tcW w:type="dxa" w:w="3628"/>
          </w:tcPr>
          <w:p>
            <w:pPr>
              <w:spacing w:after="40"/>
              <w:jc w:val="left"/>
            </w:pPr>
            <w:r/>
            <w:r>
              <w:rPr>
                <w:rFonts w:ascii="Times New Roman" w:hAnsi="Times New Roman"/>
                <w:b/>
                <w:sz w:val="20"/>
              </w:rPr>
              <w:t>Порядок измерения</w:t>
            </w:r>
          </w:p>
        </w:tc>
      </w:tr>
      <w:tr>
        <w:tc>
          <w:tcPr>
            <w:tcW w:type="dxa" w:w="3061"/>
          </w:tcPr>
          <w:p>
            <w:pPr>
              <w:spacing w:after="40"/>
              <w:jc w:val="left"/>
            </w:pPr>
            <w:r/>
            <w:r>
              <w:rPr>
                <w:rFonts w:ascii="Times New Roman" w:hAnsi="Times New Roman"/>
                <w:sz w:val="20"/>
              </w:rPr>
              <w:t>Доля принятых вызовов</w:t>
            </w:r>
          </w:p>
        </w:tc>
        <w:tc>
          <w:tcPr>
            <w:tcW w:type="dxa" w:w="2835"/>
          </w:tcPr>
          <w:p>
            <w:pPr>
              <w:spacing w:after="40"/>
              <w:jc w:val="left"/>
            </w:pPr>
            <w:r/>
            <w:r>
              <w:rPr>
                <w:rFonts w:ascii="Times New Roman" w:hAnsi="Times New Roman"/>
                <w:sz w:val="20"/>
              </w:rPr>
              <w:t xml:space="preserve">не менее </w:t>
            </w:r>
            <w:r>
              <w:rPr>
                <w:rFonts w:ascii="Times New Roman" w:hAnsi="Times New Roman"/>
                <w:b/>
                <w:color w:val="B00000"/>
                <w:sz w:val="20"/>
              </w:rPr>
              <w:t>95</w:t>
            </w:r>
            <w:r>
              <w:rPr>
                <w:rFonts w:ascii="Times New Roman" w:hAnsi="Times New Roman"/>
                <w:sz w:val="20"/>
              </w:rPr>
              <w:t xml:space="preserve"> %</w:t>
            </w:r>
          </w:p>
        </w:tc>
        <w:tc>
          <w:tcPr>
            <w:tcW w:type="dxa" w:w="3628"/>
          </w:tcPr>
          <w:p>
            <w:pPr>
              <w:spacing w:after="40"/>
              <w:jc w:val="left"/>
            </w:pPr>
            <w:r/>
            <w:r>
              <w:rPr>
                <w:rFonts w:ascii="Times New Roman" w:hAnsi="Times New Roman"/>
                <w:sz w:val="20"/>
              </w:rPr>
              <w:t>по данным Биллинга за Расчётный период</w:t>
            </w:r>
          </w:p>
        </w:tc>
      </w:tr>
      <w:tr>
        <w:tc>
          <w:tcPr>
            <w:tcW w:type="dxa" w:w="3061"/>
          </w:tcPr>
          <w:p>
            <w:pPr>
              <w:spacing w:after="40"/>
              <w:jc w:val="left"/>
            </w:pPr>
            <w:r/>
            <w:r>
              <w:rPr>
                <w:rFonts w:ascii="Times New Roman" w:hAnsi="Times New Roman"/>
                <w:sz w:val="20"/>
              </w:rPr>
              <w:t>Время до ответа (первая реплика)</w:t>
            </w:r>
          </w:p>
        </w:tc>
        <w:tc>
          <w:tcPr>
            <w:tcW w:type="dxa" w:w="2835"/>
          </w:tcPr>
          <w:p>
            <w:pPr>
              <w:spacing w:after="40"/>
              <w:jc w:val="left"/>
            </w:pPr>
            <w:r/>
            <w:r>
              <w:rPr>
                <w:rFonts w:ascii="Times New Roman" w:hAnsi="Times New Roman"/>
                <w:sz w:val="20"/>
              </w:rPr>
              <w:t xml:space="preserve">не более </w:t>
            </w:r>
            <w:r>
              <w:rPr>
                <w:rFonts w:ascii="Times New Roman" w:hAnsi="Times New Roman"/>
                <w:b/>
                <w:color w:val="B00000"/>
                <w:sz w:val="20"/>
              </w:rPr>
              <w:t>___</w:t>
            </w:r>
            <w:r>
              <w:rPr>
                <w:rFonts w:ascii="Times New Roman" w:hAnsi="Times New Roman"/>
                <w:sz w:val="20"/>
              </w:rPr>
              <w:t xml:space="preserve"> секунд</w:t>
            </w:r>
          </w:p>
        </w:tc>
        <w:tc>
          <w:tcPr>
            <w:tcW w:type="dxa" w:w="3628"/>
          </w:tcPr>
          <w:p>
            <w:pPr>
              <w:spacing w:after="40"/>
              <w:jc w:val="left"/>
            </w:pPr>
            <w:r/>
            <w:r>
              <w:rPr>
                <w:rFonts w:ascii="Times New Roman" w:hAnsi="Times New Roman"/>
                <w:sz w:val="20"/>
              </w:rPr>
              <w:t>по данным Биллинга</w:t>
            </w:r>
          </w:p>
        </w:tc>
      </w:tr>
      <w:tr>
        <w:tc>
          <w:tcPr>
            <w:tcW w:type="dxa" w:w="3061"/>
          </w:tcPr>
          <w:p>
            <w:pPr>
              <w:spacing w:after="40"/>
              <w:jc w:val="left"/>
            </w:pPr>
            <w:r/>
            <w:r>
              <w:rPr>
                <w:rFonts w:ascii="Times New Roman" w:hAnsi="Times New Roman"/>
                <w:sz w:val="20"/>
              </w:rPr>
              <w:t>Доступность сервиса</w:t>
            </w:r>
          </w:p>
        </w:tc>
        <w:tc>
          <w:tcPr>
            <w:tcW w:type="dxa" w:w="2835"/>
          </w:tcPr>
          <w:p>
            <w:pPr>
              <w:spacing w:after="40"/>
              <w:jc w:val="left"/>
            </w:pPr>
            <w:r/>
            <w:r>
              <w:rPr>
                <w:rFonts w:ascii="Times New Roman" w:hAnsi="Times New Roman"/>
                <w:sz w:val="20"/>
              </w:rPr>
              <w:t xml:space="preserve">не менее </w:t>
            </w:r>
            <w:r>
              <w:rPr>
                <w:rFonts w:ascii="Times New Roman" w:hAnsi="Times New Roman"/>
                <w:b/>
                <w:color w:val="B00000"/>
                <w:sz w:val="20"/>
              </w:rPr>
              <w:t>99</w:t>
            </w:r>
            <w:r>
              <w:rPr>
                <w:rFonts w:ascii="Times New Roman" w:hAnsi="Times New Roman"/>
                <w:sz w:val="20"/>
              </w:rPr>
              <w:t xml:space="preserve"> % (без учёта плановых работ)</w:t>
            </w:r>
          </w:p>
        </w:tc>
        <w:tc>
          <w:tcPr>
            <w:tcW w:type="dxa" w:w="3628"/>
          </w:tcPr>
          <w:p>
            <w:pPr>
              <w:spacing w:after="40"/>
              <w:jc w:val="left"/>
            </w:pPr>
            <w:r/>
            <w:r>
              <w:rPr>
                <w:rFonts w:ascii="Times New Roman" w:hAnsi="Times New Roman"/>
                <w:sz w:val="20"/>
              </w:rPr>
              <w:t>по данным мониторинга Правообладателя</w:t>
            </w:r>
          </w:p>
        </w:tc>
      </w:tr>
      <w:tr>
        <w:tc>
          <w:tcPr>
            <w:tcW w:type="dxa" w:w="3061"/>
          </w:tcPr>
          <w:p>
            <w:pPr>
              <w:spacing w:after="40"/>
              <w:jc w:val="left"/>
            </w:pPr>
            <w:r/>
            <w:r>
              <w:rPr>
                <w:rFonts w:ascii="Times New Roman" w:hAnsi="Times New Roman"/>
                <w:sz w:val="20"/>
              </w:rPr>
              <w:t>Соответствие Сценарию</w:t>
            </w:r>
          </w:p>
        </w:tc>
        <w:tc>
          <w:tcPr>
            <w:tcW w:type="dxa" w:w="2835"/>
          </w:tcPr>
          <w:p>
            <w:pPr>
              <w:spacing w:after="40"/>
              <w:jc w:val="left"/>
            </w:pPr>
            <w:r/>
            <w:r>
              <w:rPr>
                <w:rFonts w:ascii="Times New Roman" w:hAnsi="Times New Roman"/>
                <w:b/>
                <w:color w:val="B00000"/>
                <w:sz w:val="20"/>
              </w:rPr>
              <w:t>___</w:t>
            </w:r>
            <w:r>
              <w:rPr>
                <w:rFonts w:ascii="Times New Roman" w:hAnsi="Times New Roman"/>
                <w:sz w:val="20"/>
              </w:rPr>
              <w:t xml:space="preserve"> % разговоров без критических отклонений</w:t>
            </w:r>
          </w:p>
        </w:tc>
        <w:tc>
          <w:tcPr>
            <w:tcW w:type="dxa" w:w="3628"/>
          </w:tcPr>
          <w:p>
            <w:pPr>
              <w:spacing w:after="40"/>
              <w:jc w:val="left"/>
            </w:pPr>
            <w:r/>
            <w:r>
              <w:rPr>
                <w:rFonts w:ascii="Times New Roman" w:hAnsi="Times New Roman"/>
                <w:sz w:val="20"/>
              </w:rPr>
              <w:t xml:space="preserve">выборочный разбор </w:t>
            </w:r>
            <w:r>
              <w:rPr>
                <w:rFonts w:ascii="Times New Roman" w:hAnsi="Times New Roman"/>
                <w:b/>
                <w:color w:val="B00000"/>
                <w:sz w:val="20"/>
              </w:rPr>
              <w:t>___</w:t>
            </w:r>
            <w:r>
              <w:rPr>
                <w:rFonts w:ascii="Times New Roman" w:hAnsi="Times New Roman"/>
                <w:sz w:val="20"/>
              </w:rPr>
              <w:t xml:space="preserve"> разговоров в месяц</w:t>
            </w:r>
          </w:p>
        </w:tc>
      </w:tr>
      <w:tr>
        <w:tc>
          <w:tcPr>
            <w:tcW w:type="dxa" w:w="3061"/>
          </w:tcPr>
          <w:p>
            <w:pPr>
              <w:spacing w:after="40"/>
              <w:jc w:val="left"/>
            </w:pPr>
            <w:r/>
            <w:r>
              <w:rPr>
                <w:rFonts w:ascii="Times New Roman" w:hAnsi="Times New Roman"/>
                <w:sz w:val="20"/>
              </w:rPr>
              <w:t>Тестовый период</w:t>
            </w:r>
          </w:p>
        </w:tc>
        <w:tc>
          <w:tcPr>
            <w:tcW w:type="dxa" w:w="2835"/>
          </w:tcPr>
          <w:p>
            <w:pPr>
              <w:spacing w:after="40"/>
              <w:jc w:val="left"/>
            </w:pPr>
            <w:r/>
            <w:r>
              <w:rPr>
                <w:rFonts w:ascii="Times New Roman" w:hAnsi="Times New Roman"/>
                <w:sz w:val="20"/>
              </w:rPr>
              <w:t>14 календарных дней с даты активации</w:t>
            </w:r>
          </w:p>
        </w:tc>
        <w:tc>
          <w:tcPr>
            <w:tcW w:type="dxa" w:w="3628"/>
          </w:tcPr>
          <w:p>
            <w:pPr>
              <w:spacing w:after="40"/>
              <w:jc w:val="left"/>
            </w:pPr>
            <w:r/>
            <w:r>
              <w:rPr>
                <w:rFonts w:ascii="Times New Roman" w:hAnsi="Times New Roman"/>
                <w:sz w:val="20"/>
              </w:rPr>
              <w:t>пункт 3.4 Договора</w:t>
            </w:r>
          </w:p>
        </w:tc>
      </w:tr>
    </w:tbl>
    <w:p>
      <w:pPr>
        <w:spacing w:after="40"/>
      </w:pPr>
    </w:p>
    <w:p>
      <w:pPr>
        <w:spacing w:after="120"/>
        <w:ind w:firstLine="454"/>
      </w:pPr>
      <w:r>
        <w:rPr>
          <w:rFonts w:ascii="Times New Roman" w:hAnsi="Times New Roman"/>
        </w:rPr>
        <w:t>4.1. Критерии качества подтверждают работоспособность линии и качество Услуг Партнёра. Показатели конверсии, выручки и иные экономические результаты не гарантируются и в качестве критериев не устанавливаются (пункт 7.1 Договора).</w:t>
      </w:r>
    </w:p>
    <w:p>
      <w:pPr>
        <w:keepNext/>
        <w:spacing w:before="240" w:after="120"/>
      </w:pPr>
      <w:r>
        <w:rPr>
          <w:rFonts w:ascii="Times New Roman" w:hAnsi="Times New Roman"/>
          <w:b/>
          <w:sz w:val="22"/>
        </w:rPr>
        <w:t>5. ПРОЧИЕ УСЛОВИЯ</w:t>
      </w:r>
    </w:p>
    <w:p>
      <w:pPr>
        <w:spacing w:after="120"/>
        <w:ind w:firstLine="454"/>
      </w:pPr>
      <w:r>
        <w:rPr>
          <w:rFonts w:ascii="Times New Roman" w:hAnsi="Times New Roman"/>
        </w:rPr>
        <w:t xml:space="preserve">5.1. Срок активации: </w:t>
      </w:r>
      <w:r>
        <w:rPr>
          <w:rFonts w:ascii="Times New Roman" w:hAnsi="Times New Roman"/>
          <w:b/>
          <w:color w:val="B00000"/>
        </w:rPr>
        <w:t>___</w:t>
      </w:r>
      <w:r>
        <w:rPr>
          <w:rFonts w:ascii="Times New Roman" w:hAnsi="Times New Roman"/>
        </w:rPr>
        <w:t xml:space="preserve"> рабочих дней с даты выполнения условий пункта 3.1 Договора.</w:t>
      </w:r>
    </w:p>
    <w:p>
      <w:pPr>
        <w:spacing w:after="120"/>
        <w:ind w:firstLine="454"/>
      </w:pPr>
      <w:r>
        <w:rPr>
          <w:rFonts w:ascii="Times New Roman" w:hAnsi="Times New Roman"/>
        </w:rPr>
        <w:t xml:space="preserve">5.2. Контактные лица для оперативного взаимодействия: </w:t>
      </w:r>
      <w:r>
        <w:rPr>
          <w:rFonts w:ascii="Times New Roman" w:hAnsi="Times New Roman"/>
          <w:b/>
          <w:color w:val="B00000"/>
        </w:rPr>
        <w:t>со стороны Клиента — ФИО, должность, телефон, e-mail; со стороны Партнёра — ФИО, телефон, e-mail</w:t>
      </w:r>
      <w:r>
        <w:rPr>
          <w:rFonts w:ascii="Times New Roman" w:hAnsi="Times New Roman"/>
        </w:rPr>
        <w:t>.</w:t>
      </w:r>
    </w:p>
    <w:p>
      <w:pPr>
        <w:spacing w:after="120"/>
        <w:ind w:firstLine="454"/>
      </w:pPr>
      <w:r>
        <w:rPr>
          <w:rFonts w:ascii="Times New Roman" w:hAnsi="Times New Roman"/>
        </w:rPr>
        <w:t>5.3. Порядок эскалации: первая линия — Партнёр (рабочие дни 09:00–18:00 МСК); вторая линия — Правообладатель, подключается Партнёром.</w:t>
      </w:r>
    </w:p>
    <w:tbl>
      <w:tblPr>
        <w:tblStyle w:val="TableGrid"/>
        <w:tblW w:type="auto" w:w="0"/>
        <w:jc w:val="center"/>
        <w:tblLook w:firstColumn="1" w:firstRow="1" w:lastColumn="0" w:lastRow="0" w:noHBand="0" w:noVBand="1" w:val="04A0"/>
      </w:tblPr>
      <w:tblGrid>
        <w:gridCol w:w="4677"/>
        <w:gridCol w:w="4677"/>
      </w:tblGrid>
      <w:tr>
        <w:tc>
          <w:tcPr>
            <w:tcW w:type="dxa" w:w="4762"/>
          </w:tcPr>
          <w:p>
            <w:pPr>
              <w:spacing w:after="40"/>
              <w:jc w:val="left"/>
            </w:pPr>
            <w:r/>
            <w:r>
              <w:rPr>
                <w:rFonts w:ascii="Times New Roman" w:hAnsi="Times New Roman"/>
                <w:b/>
                <w:sz w:val="20"/>
              </w:rPr>
              <w:t>КЛИЕНТ</w:t>
            </w:r>
          </w:p>
        </w:tc>
        <w:tc>
          <w:tcPr>
            <w:tcW w:type="dxa" w:w="4762"/>
          </w:tcPr>
          <w:p>
            <w:pPr>
              <w:spacing w:after="40"/>
              <w:jc w:val="left"/>
            </w:pPr>
            <w:r/>
            <w:r>
              <w:rPr>
                <w:rFonts w:ascii="Times New Roman" w:hAnsi="Times New Roman"/>
                <w:b/>
                <w:sz w:val="20"/>
              </w:rPr>
              <w:t>ПАРТНЁР</w:t>
            </w:r>
          </w:p>
        </w:tc>
      </w:tr>
      <w:tr>
        <w:tc>
          <w:tcPr>
            <w:tcW w:type="dxa" w:w="4762"/>
          </w:tcPr>
          <w:p>
            <w:pPr>
              <w:spacing w:after="40"/>
              <w:jc w:val="left"/>
            </w:pPr>
            <w:r/>
            <w:r>
              <w:rPr>
                <w:rFonts w:ascii="Times New Roman" w:hAnsi="Times New Roman"/>
                <w:sz w:val="20"/>
              </w:rPr>
              <w:t xml:space="preserve">_________________ / </w:t>
            </w:r>
            <w:r>
              <w:rPr>
                <w:rFonts w:ascii="Times New Roman" w:hAnsi="Times New Roman"/>
                <w:b/>
                <w:color w:val="B00000"/>
                <w:sz w:val="20"/>
              </w:rPr>
              <w:t>ФИО</w:t>
            </w:r>
            <w:r>
              <w:rPr>
                <w:rFonts w:ascii="Times New Roman" w:hAnsi="Times New Roman"/>
                <w:sz w:val="20"/>
              </w:rPr>
              <w:t xml:space="preserve"> /</w:t>
              <w:br/>
              <w:br/>
              <w:t>«___» ____________ 20___ г.</w:t>
            </w:r>
          </w:p>
        </w:tc>
        <w:tc>
          <w:tcPr>
            <w:tcW w:type="dxa" w:w="4762"/>
          </w:tcPr>
          <w:p>
            <w:pPr>
              <w:spacing w:after="40"/>
              <w:jc w:val="left"/>
            </w:pPr>
            <w:r/>
            <w:r>
              <w:rPr>
                <w:rFonts w:ascii="Times New Roman" w:hAnsi="Times New Roman"/>
                <w:sz w:val="20"/>
              </w:rPr>
              <w:t xml:space="preserve">_________________ / </w:t>
            </w:r>
            <w:r>
              <w:rPr>
                <w:rFonts w:ascii="Times New Roman" w:hAnsi="Times New Roman"/>
                <w:b/>
                <w:color w:val="B00000"/>
                <w:sz w:val="20"/>
              </w:rPr>
              <w:t>ФИО</w:t>
            </w:r>
            <w:r>
              <w:rPr>
                <w:rFonts w:ascii="Times New Roman" w:hAnsi="Times New Roman"/>
                <w:sz w:val="20"/>
              </w:rPr>
              <w:t xml:space="preserve"> /</w:t>
              <w:br/>
              <w:br/>
              <w:t>«___» ____________ 20___ г.</w:t>
            </w:r>
          </w:p>
        </w:tc>
      </w:tr>
    </w:tbl>
    <w:p>
      <w:pPr>
        <w:spacing w:after="40"/>
      </w:pPr>
    </w:p>
    <w:p>
      <w:r>
        <w:br w:type="page"/>
      </w:r>
    </w:p>
    <w:p>
      <w:pPr>
        <w:spacing w:after="80"/>
        <w:jc w:val="center"/>
      </w:pPr>
      <w:r>
        <w:rPr>
          <w:rFonts w:ascii="Times New Roman" w:hAnsi="Times New Roman"/>
          <w:b/>
          <w:sz w:val="28"/>
        </w:rPr>
        <w:t>ПРИЛОЖЕНИЕ № 3</w:t>
      </w:r>
    </w:p>
    <w:p>
      <w:pPr>
        <w:spacing w:after="280"/>
        <w:jc w:val="center"/>
      </w:pPr>
      <w:r>
        <w:rPr>
          <w:rFonts w:ascii="Times New Roman" w:hAnsi="Times New Roman"/>
          <w:b/>
          <w:sz w:val="22"/>
        </w:rPr>
        <w:t xml:space="preserve">к Сублицензионному договору № </w:t>
      </w:r>
      <w:r>
        <w:rPr>
          <w:rFonts w:ascii="Times New Roman" w:hAnsi="Times New Roman"/>
          <w:b/>
          <w:color w:val="B00000"/>
          <w:sz w:val="22"/>
        </w:rPr>
        <w:t>___/___</w:t>
      </w:r>
      <w:r>
        <w:rPr>
          <w:rFonts w:ascii="Times New Roman" w:hAnsi="Times New Roman"/>
          <w:b/>
          <w:sz w:val="22"/>
        </w:rPr>
        <w:t xml:space="preserve"> от «___» __________ 20___ г.</w:t>
        <w:br/>
        <w:t>ПЕРЕЧЕНЬ ДОКУМЕНТОВ И ПОДТВЕРЖДЕНИЙ, ПРЕДОСТАВЛЯЕМЫХ КЛИЕНТОМ ДО АКТИВАЦИИ</w:t>
      </w:r>
    </w:p>
    <w:p>
      <w:pPr>
        <w:spacing w:after="120"/>
        <w:ind w:firstLine="454"/>
      </w:pPr>
      <w:r>
        <w:rPr>
          <w:rFonts w:ascii="Times New Roman" w:hAnsi="Times New Roman"/>
        </w:rPr>
        <w:t>Клиент предоставляет Партнёру до активации доступа (пункт 3.1 Договора):</w:t>
      </w:r>
    </w:p>
    <w:tbl>
      <w:tblPr>
        <w:tblStyle w:val="TableGrid"/>
        <w:tblW w:type="auto" w:w="0"/>
        <w:jc w:val="center"/>
        <w:tblLook w:firstColumn="1" w:firstRow="1" w:lastColumn="0" w:lastRow="0" w:noHBand="0" w:noVBand="1" w:val="04A0"/>
      </w:tblPr>
      <w:tblGrid>
        <w:gridCol w:w="2339"/>
        <w:gridCol w:w="2339"/>
        <w:gridCol w:w="2339"/>
        <w:gridCol w:w="2339"/>
      </w:tblGrid>
      <w:tr>
        <w:tc>
          <w:tcPr>
            <w:tcW w:type="dxa" w:w="510"/>
          </w:tcPr>
          <w:p>
            <w:pPr>
              <w:spacing w:after="40"/>
              <w:jc w:val="left"/>
            </w:pPr>
            <w:r/>
            <w:r>
              <w:rPr>
                <w:rFonts w:ascii="Times New Roman" w:hAnsi="Times New Roman"/>
                <w:b/>
                <w:sz w:val="20"/>
              </w:rPr>
              <w:t>№</w:t>
            </w:r>
          </w:p>
        </w:tc>
        <w:tc>
          <w:tcPr>
            <w:tcW w:type="dxa" w:w="4876"/>
          </w:tcPr>
          <w:p>
            <w:pPr>
              <w:spacing w:after="40"/>
              <w:jc w:val="left"/>
            </w:pPr>
            <w:r/>
            <w:r>
              <w:rPr>
                <w:rFonts w:ascii="Times New Roman" w:hAnsi="Times New Roman"/>
                <w:b/>
                <w:sz w:val="20"/>
              </w:rPr>
              <w:t>Документ / подтверждение</w:t>
            </w:r>
          </w:p>
        </w:tc>
        <w:tc>
          <w:tcPr>
            <w:tcW w:type="dxa" w:w="1984"/>
          </w:tcPr>
          <w:p>
            <w:pPr>
              <w:spacing w:after="40"/>
              <w:jc w:val="left"/>
            </w:pPr>
            <w:r/>
            <w:r>
              <w:rPr>
                <w:rFonts w:ascii="Times New Roman" w:hAnsi="Times New Roman"/>
                <w:b/>
                <w:sz w:val="20"/>
              </w:rPr>
              <w:t>Форма</w:t>
            </w:r>
          </w:p>
        </w:tc>
        <w:tc>
          <w:tcPr>
            <w:tcW w:type="dxa" w:w="2154"/>
          </w:tcPr>
          <w:p>
            <w:pPr>
              <w:spacing w:after="40"/>
              <w:jc w:val="left"/>
            </w:pPr>
            <w:r/>
            <w:r>
              <w:rPr>
                <w:rFonts w:ascii="Times New Roman" w:hAnsi="Times New Roman"/>
                <w:b/>
                <w:sz w:val="20"/>
              </w:rPr>
              <w:t>Отметка о получении</w:t>
            </w:r>
          </w:p>
        </w:tc>
      </w:tr>
      <w:tr>
        <w:tc>
          <w:tcPr>
            <w:tcW w:type="dxa" w:w="510"/>
          </w:tcPr>
          <w:p>
            <w:pPr>
              <w:spacing w:after="40"/>
              <w:jc w:val="left"/>
            </w:pPr>
            <w:r/>
            <w:r>
              <w:rPr>
                <w:rFonts w:ascii="Times New Roman" w:hAnsi="Times New Roman"/>
                <w:sz w:val="20"/>
              </w:rPr>
              <w:t>1</w:t>
            </w:r>
          </w:p>
        </w:tc>
        <w:tc>
          <w:tcPr>
            <w:tcW w:type="dxa" w:w="4876"/>
          </w:tcPr>
          <w:p>
            <w:pPr>
              <w:spacing w:after="40"/>
              <w:jc w:val="left"/>
            </w:pPr>
            <w:r/>
            <w:r>
              <w:rPr>
                <w:rFonts w:ascii="Times New Roman" w:hAnsi="Times New Roman"/>
                <w:sz w:val="20"/>
              </w:rPr>
              <w:t>Подтверждение правовых оснований обработки персональных данных и обзвона</w:t>
            </w:r>
          </w:p>
        </w:tc>
        <w:tc>
          <w:tcPr>
            <w:tcW w:type="dxa" w:w="1984"/>
          </w:tcPr>
          <w:p>
            <w:pPr>
              <w:spacing w:after="40"/>
              <w:jc w:val="left"/>
            </w:pPr>
            <w:r/>
            <w:r>
              <w:rPr>
                <w:rFonts w:ascii="Times New Roman" w:hAnsi="Times New Roman"/>
                <w:sz w:val="20"/>
              </w:rPr>
              <w:t>по форме Приложения № 4</w:t>
            </w:r>
          </w:p>
        </w:tc>
        <w:tc>
          <w:tcPr>
            <w:tcW w:type="dxa" w:w="2154"/>
          </w:tcPr>
          <w:p>
            <w:pPr>
              <w:spacing w:after="40"/>
              <w:jc w:val="left"/>
            </w:pPr>
            <w:r/>
            <w:r>
              <w:rPr>
                <w:rFonts w:ascii="Times New Roman" w:hAnsi="Times New Roman"/>
                <w:b/>
                <w:color w:val="B00000"/>
                <w:sz w:val="20"/>
              </w:rPr>
              <w:t>☐</w:t>
            </w:r>
          </w:p>
        </w:tc>
      </w:tr>
      <w:tr>
        <w:tc>
          <w:tcPr>
            <w:tcW w:type="dxa" w:w="510"/>
          </w:tcPr>
          <w:p>
            <w:pPr>
              <w:spacing w:after="40"/>
              <w:jc w:val="left"/>
            </w:pPr>
            <w:r/>
            <w:r>
              <w:rPr>
                <w:rFonts w:ascii="Times New Roman" w:hAnsi="Times New Roman"/>
                <w:sz w:val="20"/>
              </w:rPr>
              <w:t>2</w:t>
            </w:r>
          </w:p>
        </w:tc>
        <w:tc>
          <w:tcPr>
            <w:tcW w:type="dxa" w:w="4876"/>
          </w:tcPr>
          <w:p>
            <w:pPr>
              <w:spacing w:after="40"/>
              <w:jc w:val="left"/>
            </w:pPr>
            <w:r/>
            <w:r>
              <w:rPr>
                <w:rFonts w:ascii="Times New Roman" w:hAnsi="Times New Roman"/>
                <w:sz w:val="20"/>
              </w:rPr>
              <w:t>Выписка из внутренних документов о поручении на обработку персональных данных (или копия политики обработки ПД)</w:t>
            </w:r>
          </w:p>
        </w:tc>
        <w:tc>
          <w:tcPr>
            <w:tcW w:type="dxa" w:w="1984"/>
          </w:tcPr>
          <w:p>
            <w:pPr>
              <w:spacing w:after="40"/>
              <w:jc w:val="left"/>
            </w:pPr>
            <w:r/>
            <w:r>
              <w:rPr>
                <w:rFonts w:ascii="Times New Roman" w:hAnsi="Times New Roman"/>
                <w:sz w:val="20"/>
              </w:rPr>
              <w:t>копия / выписка</w:t>
            </w:r>
          </w:p>
        </w:tc>
        <w:tc>
          <w:tcPr>
            <w:tcW w:type="dxa" w:w="2154"/>
          </w:tcPr>
          <w:p>
            <w:pPr>
              <w:spacing w:after="40"/>
              <w:jc w:val="left"/>
            </w:pPr>
            <w:r/>
            <w:r>
              <w:rPr>
                <w:rFonts w:ascii="Times New Roman" w:hAnsi="Times New Roman"/>
                <w:b/>
                <w:color w:val="B00000"/>
                <w:sz w:val="20"/>
              </w:rPr>
              <w:t>☐</w:t>
            </w:r>
          </w:p>
        </w:tc>
      </w:tr>
      <w:tr>
        <w:tc>
          <w:tcPr>
            <w:tcW w:type="dxa" w:w="510"/>
          </w:tcPr>
          <w:p>
            <w:pPr>
              <w:spacing w:after="40"/>
              <w:jc w:val="left"/>
            </w:pPr>
            <w:r/>
            <w:r>
              <w:rPr>
                <w:rFonts w:ascii="Times New Roman" w:hAnsi="Times New Roman"/>
                <w:sz w:val="20"/>
              </w:rPr>
              <w:t>3</w:t>
            </w:r>
          </w:p>
        </w:tc>
        <w:tc>
          <w:tcPr>
            <w:tcW w:type="dxa" w:w="4876"/>
          </w:tcPr>
          <w:p>
            <w:pPr>
              <w:spacing w:after="40"/>
              <w:jc w:val="left"/>
            </w:pPr>
            <w:r/>
            <w:r>
              <w:rPr>
                <w:rFonts w:ascii="Times New Roman" w:hAnsi="Times New Roman"/>
                <w:sz w:val="20"/>
              </w:rPr>
              <w:t>Подтверждение наличия согласий субъектов на получение рекламы по сетям связи и оснований для записи разговоров</w:t>
            </w:r>
          </w:p>
        </w:tc>
        <w:tc>
          <w:tcPr>
            <w:tcW w:type="dxa" w:w="1984"/>
          </w:tcPr>
          <w:p>
            <w:pPr>
              <w:spacing w:after="40"/>
              <w:jc w:val="left"/>
            </w:pPr>
            <w:r/>
            <w:r>
              <w:rPr>
                <w:rFonts w:ascii="Times New Roman" w:hAnsi="Times New Roman"/>
                <w:sz w:val="20"/>
              </w:rPr>
              <w:t>перечень оснований</w:t>
            </w:r>
          </w:p>
        </w:tc>
        <w:tc>
          <w:tcPr>
            <w:tcW w:type="dxa" w:w="2154"/>
          </w:tcPr>
          <w:p>
            <w:pPr>
              <w:spacing w:after="40"/>
              <w:jc w:val="left"/>
            </w:pPr>
            <w:r/>
            <w:r>
              <w:rPr>
                <w:rFonts w:ascii="Times New Roman" w:hAnsi="Times New Roman"/>
                <w:b/>
                <w:color w:val="B00000"/>
                <w:sz w:val="20"/>
              </w:rPr>
              <w:t>☐</w:t>
            </w:r>
          </w:p>
        </w:tc>
      </w:tr>
      <w:tr>
        <w:tc>
          <w:tcPr>
            <w:tcW w:type="dxa" w:w="510"/>
          </w:tcPr>
          <w:p>
            <w:pPr>
              <w:spacing w:after="40"/>
              <w:jc w:val="left"/>
            </w:pPr>
            <w:r/>
            <w:r>
              <w:rPr>
                <w:rFonts w:ascii="Times New Roman" w:hAnsi="Times New Roman"/>
                <w:sz w:val="20"/>
              </w:rPr>
              <w:t>4</w:t>
            </w:r>
          </w:p>
        </w:tc>
        <w:tc>
          <w:tcPr>
            <w:tcW w:type="dxa" w:w="4876"/>
          </w:tcPr>
          <w:p>
            <w:pPr>
              <w:spacing w:after="40"/>
              <w:jc w:val="left"/>
            </w:pPr>
            <w:r/>
            <w:r>
              <w:rPr>
                <w:rFonts w:ascii="Times New Roman" w:hAnsi="Times New Roman"/>
                <w:sz w:val="20"/>
              </w:rPr>
              <w:t>Подтверждение исполнения обязанности оператора по уведомлению уполномоченного органа (если применимо)</w:t>
            </w:r>
          </w:p>
        </w:tc>
        <w:tc>
          <w:tcPr>
            <w:tcW w:type="dxa" w:w="1984"/>
          </w:tcPr>
          <w:p>
            <w:pPr>
              <w:spacing w:after="40"/>
              <w:jc w:val="left"/>
            </w:pPr>
            <w:r/>
            <w:r>
              <w:rPr>
                <w:rFonts w:ascii="Times New Roman" w:hAnsi="Times New Roman"/>
                <w:sz w:val="20"/>
              </w:rPr>
              <w:t>уведомление / реквизиты</w:t>
            </w:r>
          </w:p>
        </w:tc>
        <w:tc>
          <w:tcPr>
            <w:tcW w:type="dxa" w:w="2154"/>
          </w:tcPr>
          <w:p>
            <w:pPr>
              <w:spacing w:after="40"/>
              <w:jc w:val="left"/>
            </w:pPr>
            <w:r/>
            <w:r>
              <w:rPr>
                <w:rFonts w:ascii="Times New Roman" w:hAnsi="Times New Roman"/>
                <w:b/>
                <w:color w:val="B00000"/>
                <w:sz w:val="20"/>
              </w:rPr>
              <w:t>☐</w:t>
            </w:r>
          </w:p>
        </w:tc>
      </w:tr>
      <w:tr>
        <w:tc>
          <w:tcPr>
            <w:tcW w:type="dxa" w:w="510"/>
          </w:tcPr>
          <w:p>
            <w:pPr>
              <w:spacing w:after="40"/>
              <w:jc w:val="left"/>
            </w:pPr>
            <w:r/>
            <w:r>
              <w:rPr>
                <w:rFonts w:ascii="Times New Roman" w:hAnsi="Times New Roman"/>
                <w:sz w:val="20"/>
              </w:rPr>
              <w:t>5</w:t>
            </w:r>
          </w:p>
        </w:tc>
        <w:tc>
          <w:tcPr>
            <w:tcW w:type="dxa" w:w="4876"/>
          </w:tcPr>
          <w:p>
            <w:pPr>
              <w:spacing w:after="40"/>
              <w:jc w:val="left"/>
            </w:pPr>
            <w:r/>
            <w:r>
              <w:rPr>
                <w:rFonts w:ascii="Times New Roman" w:hAnsi="Times New Roman"/>
                <w:sz w:val="20"/>
              </w:rPr>
              <w:t>Сведения о маркировке вызовов: договор с оператором связи либо поручение Партнёру</w:t>
            </w:r>
          </w:p>
        </w:tc>
        <w:tc>
          <w:tcPr>
            <w:tcW w:type="dxa" w:w="1984"/>
          </w:tcPr>
          <w:p>
            <w:pPr>
              <w:spacing w:after="40"/>
              <w:jc w:val="left"/>
            </w:pPr>
            <w:r/>
            <w:r>
              <w:rPr>
                <w:rFonts w:ascii="Times New Roman" w:hAnsi="Times New Roman"/>
                <w:sz w:val="20"/>
              </w:rPr>
              <w:t>копия / реквизиты</w:t>
            </w:r>
          </w:p>
        </w:tc>
        <w:tc>
          <w:tcPr>
            <w:tcW w:type="dxa" w:w="2154"/>
          </w:tcPr>
          <w:p>
            <w:pPr>
              <w:spacing w:after="40"/>
              <w:jc w:val="left"/>
            </w:pPr>
            <w:r/>
            <w:r>
              <w:rPr>
                <w:rFonts w:ascii="Times New Roman" w:hAnsi="Times New Roman"/>
                <w:b/>
                <w:color w:val="B00000"/>
                <w:sz w:val="20"/>
              </w:rPr>
              <w:t>☐</w:t>
            </w:r>
          </w:p>
        </w:tc>
      </w:tr>
      <w:tr>
        <w:tc>
          <w:tcPr>
            <w:tcW w:type="dxa" w:w="510"/>
          </w:tcPr>
          <w:p>
            <w:pPr>
              <w:spacing w:after="40"/>
              <w:jc w:val="left"/>
            </w:pPr>
            <w:r/>
            <w:r>
              <w:rPr>
                <w:rFonts w:ascii="Times New Roman" w:hAnsi="Times New Roman"/>
                <w:sz w:val="20"/>
              </w:rPr>
              <w:t>6</w:t>
            </w:r>
          </w:p>
        </w:tc>
        <w:tc>
          <w:tcPr>
            <w:tcW w:type="dxa" w:w="4876"/>
          </w:tcPr>
          <w:p>
            <w:pPr>
              <w:spacing w:after="40"/>
              <w:jc w:val="left"/>
            </w:pPr>
            <w:r/>
            <w:r>
              <w:rPr>
                <w:rFonts w:ascii="Times New Roman" w:hAnsi="Times New Roman"/>
                <w:sz w:val="20"/>
              </w:rPr>
              <w:t>Прайс, условия работы, типовые вопросы, записи успешных разговоров</w:t>
            </w:r>
          </w:p>
        </w:tc>
        <w:tc>
          <w:tcPr>
            <w:tcW w:type="dxa" w:w="1984"/>
          </w:tcPr>
          <w:p>
            <w:pPr>
              <w:spacing w:after="40"/>
              <w:jc w:val="left"/>
            </w:pPr>
            <w:r/>
            <w:r>
              <w:rPr>
                <w:rFonts w:ascii="Times New Roman" w:hAnsi="Times New Roman"/>
                <w:sz w:val="20"/>
              </w:rPr>
              <w:t>материалы</w:t>
            </w:r>
          </w:p>
        </w:tc>
        <w:tc>
          <w:tcPr>
            <w:tcW w:type="dxa" w:w="2154"/>
          </w:tcPr>
          <w:p>
            <w:pPr>
              <w:spacing w:after="40"/>
              <w:jc w:val="left"/>
            </w:pPr>
            <w:r/>
            <w:r>
              <w:rPr>
                <w:rFonts w:ascii="Times New Roman" w:hAnsi="Times New Roman"/>
                <w:b/>
                <w:color w:val="B00000"/>
                <w:sz w:val="20"/>
              </w:rPr>
              <w:t>☐</w:t>
            </w:r>
          </w:p>
        </w:tc>
      </w:tr>
      <w:tr>
        <w:tc>
          <w:tcPr>
            <w:tcW w:type="dxa" w:w="510"/>
          </w:tcPr>
          <w:p>
            <w:pPr>
              <w:spacing w:after="40"/>
              <w:jc w:val="left"/>
            </w:pPr>
            <w:r/>
            <w:r>
              <w:rPr>
                <w:rFonts w:ascii="Times New Roman" w:hAnsi="Times New Roman"/>
                <w:sz w:val="20"/>
              </w:rPr>
              <w:t>7</w:t>
            </w:r>
          </w:p>
        </w:tc>
        <w:tc>
          <w:tcPr>
            <w:tcW w:type="dxa" w:w="4876"/>
          </w:tcPr>
          <w:p>
            <w:pPr>
              <w:spacing w:after="40"/>
              <w:jc w:val="left"/>
            </w:pPr>
            <w:r/>
            <w:r>
              <w:rPr>
                <w:rFonts w:ascii="Times New Roman" w:hAnsi="Times New Roman"/>
                <w:sz w:val="20"/>
              </w:rPr>
              <w:t>Доступы: телефония, CRM, таблицы, мессенджеры (с правами, согласованными Сторонами)</w:t>
            </w:r>
          </w:p>
        </w:tc>
        <w:tc>
          <w:tcPr>
            <w:tcW w:type="dxa" w:w="1984"/>
          </w:tcPr>
          <w:p>
            <w:pPr>
              <w:spacing w:after="40"/>
              <w:jc w:val="left"/>
            </w:pPr>
            <w:r/>
            <w:r>
              <w:rPr>
                <w:rFonts w:ascii="Times New Roman" w:hAnsi="Times New Roman"/>
                <w:sz w:val="20"/>
              </w:rPr>
              <w:t>доступы</w:t>
            </w:r>
          </w:p>
        </w:tc>
        <w:tc>
          <w:tcPr>
            <w:tcW w:type="dxa" w:w="2154"/>
          </w:tcPr>
          <w:p>
            <w:pPr>
              <w:spacing w:after="40"/>
              <w:jc w:val="left"/>
            </w:pPr>
            <w:r/>
            <w:r>
              <w:rPr>
                <w:rFonts w:ascii="Times New Roman" w:hAnsi="Times New Roman"/>
                <w:b/>
                <w:color w:val="B00000"/>
                <w:sz w:val="20"/>
              </w:rPr>
              <w:t>☐</w:t>
            </w:r>
          </w:p>
        </w:tc>
      </w:tr>
      <w:tr>
        <w:tc>
          <w:tcPr>
            <w:tcW w:type="dxa" w:w="510"/>
          </w:tcPr>
          <w:p>
            <w:pPr>
              <w:spacing w:after="40"/>
              <w:jc w:val="left"/>
            </w:pPr>
            <w:r/>
            <w:r>
              <w:rPr>
                <w:rFonts w:ascii="Times New Roman" w:hAnsi="Times New Roman"/>
                <w:sz w:val="20"/>
              </w:rPr>
              <w:t>8</w:t>
            </w:r>
          </w:p>
        </w:tc>
        <w:tc>
          <w:tcPr>
            <w:tcW w:type="dxa" w:w="4876"/>
          </w:tcPr>
          <w:p>
            <w:pPr>
              <w:spacing w:after="40"/>
              <w:jc w:val="left"/>
            </w:pPr>
            <w:r/>
            <w:r>
              <w:rPr>
                <w:rFonts w:ascii="Times New Roman" w:hAnsi="Times New Roman"/>
                <w:sz w:val="20"/>
              </w:rPr>
              <w:t>Контакты ответственного лица Клиента для оперативного взаимодействия</w:t>
            </w:r>
          </w:p>
        </w:tc>
        <w:tc>
          <w:tcPr>
            <w:tcW w:type="dxa" w:w="1984"/>
          </w:tcPr>
          <w:p>
            <w:pPr>
              <w:spacing w:after="40"/>
              <w:jc w:val="left"/>
            </w:pPr>
            <w:r/>
            <w:r>
              <w:rPr>
                <w:rFonts w:ascii="Times New Roman" w:hAnsi="Times New Roman"/>
                <w:sz w:val="20"/>
              </w:rPr>
              <w:t>данные</w:t>
            </w:r>
          </w:p>
        </w:tc>
        <w:tc>
          <w:tcPr>
            <w:tcW w:type="dxa" w:w="2154"/>
          </w:tcPr>
          <w:p>
            <w:pPr>
              <w:spacing w:after="40"/>
              <w:jc w:val="left"/>
            </w:pPr>
            <w:r/>
            <w:r>
              <w:rPr>
                <w:rFonts w:ascii="Times New Roman" w:hAnsi="Times New Roman"/>
                <w:b/>
                <w:color w:val="B00000"/>
                <w:sz w:val="20"/>
              </w:rPr>
              <w:t>☐</w:t>
            </w:r>
          </w:p>
        </w:tc>
      </w:tr>
    </w:tbl>
    <w:p>
      <w:pPr>
        <w:spacing w:after="40"/>
      </w:pPr>
    </w:p>
    <w:p>
      <w:pPr>
        <w:spacing w:after="120"/>
        <w:ind w:firstLine="454"/>
      </w:pPr>
      <w:r>
        <w:rPr>
          <w:rFonts w:ascii="Times New Roman" w:hAnsi="Times New Roman"/>
        </w:rPr>
        <w:t>Примечание. Подтверждения хранятся Клиентом в течение срока действия Договора и 5 (пяти) лет после его прекращения и предоставляются Партнёру по запросу в течение 3 (трёх) рабочих дней (пункт 2.3.6 Договора).</w:t>
      </w:r>
    </w:p>
    <w:tbl>
      <w:tblPr>
        <w:tblStyle w:val="TableGrid"/>
        <w:tblW w:type="auto" w:w="0"/>
        <w:jc w:val="center"/>
        <w:tblLook w:firstColumn="1" w:firstRow="1" w:lastColumn="0" w:lastRow="0" w:noHBand="0" w:noVBand="1" w:val="04A0"/>
      </w:tblPr>
      <w:tblGrid>
        <w:gridCol w:w="4677"/>
        <w:gridCol w:w="4677"/>
      </w:tblGrid>
      <w:tr>
        <w:tc>
          <w:tcPr>
            <w:tcW w:type="dxa" w:w="4762"/>
          </w:tcPr>
          <w:p>
            <w:pPr>
              <w:spacing w:after="40"/>
              <w:jc w:val="left"/>
            </w:pPr>
            <w:r/>
            <w:r>
              <w:rPr>
                <w:rFonts w:ascii="Times New Roman" w:hAnsi="Times New Roman"/>
                <w:b/>
                <w:sz w:val="20"/>
              </w:rPr>
              <w:t>КЛИЕНТ</w:t>
            </w:r>
          </w:p>
        </w:tc>
        <w:tc>
          <w:tcPr>
            <w:tcW w:type="dxa" w:w="4762"/>
          </w:tcPr>
          <w:p>
            <w:pPr>
              <w:spacing w:after="40"/>
              <w:jc w:val="left"/>
            </w:pPr>
            <w:r/>
            <w:r>
              <w:rPr>
                <w:rFonts w:ascii="Times New Roman" w:hAnsi="Times New Roman"/>
                <w:b/>
                <w:sz w:val="20"/>
              </w:rPr>
              <w:t>ПАРТНЁР</w:t>
            </w:r>
          </w:p>
        </w:tc>
      </w:tr>
      <w:tr>
        <w:tc>
          <w:tcPr>
            <w:tcW w:type="dxa" w:w="4762"/>
          </w:tcPr>
          <w:p>
            <w:pPr>
              <w:spacing w:after="40"/>
              <w:jc w:val="left"/>
            </w:pPr>
            <w:r/>
            <w:r>
              <w:rPr>
                <w:rFonts w:ascii="Times New Roman" w:hAnsi="Times New Roman"/>
                <w:sz w:val="20"/>
              </w:rPr>
              <w:t xml:space="preserve">_________________ / </w:t>
            </w:r>
            <w:r>
              <w:rPr>
                <w:rFonts w:ascii="Times New Roman" w:hAnsi="Times New Roman"/>
                <w:b/>
                <w:color w:val="B00000"/>
                <w:sz w:val="20"/>
              </w:rPr>
              <w:t>ФИО</w:t>
            </w:r>
            <w:r>
              <w:rPr>
                <w:rFonts w:ascii="Times New Roman" w:hAnsi="Times New Roman"/>
                <w:sz w:val="20"/>
              </w:rPr>
              <w:t xml:space="preserve"> /</w:t>
              <w:br/>
              <w:br/>
              <w:t>«___» ____________ 20___ г.</w:t>
            </w:r>
          </w:p>
        </w:tc>
        <w:tc>
          <w:tcPr>
            <w:tcW w:type="dxa" w:w="4762"/>
          </w:tcPr>
          <w:p>
            <w:pPr>
              <w:spacing w:after="40"/>
              <w:jc w:val="left"/>
            </w:pPr>
            <w:r/>
            <w:r>
              <w:rPr>
                <w:rFonts w:ascii="Times New Roman" w:hAnsi="Times New Roman"/>
                <w:sz w:val="20"/>
              </w:rPr>
              <w:t xml:space="preserve">_________________ / </w:t>
            </w:r>
            <w:r>
              <w:rPr>
                <w:rFonts w:ascii="Times New Roman" w:hAnsi="Times New Roman"/>
                <w:b/>
                <w:color w:val="B00000"/>
                <w:sz w:val="20"/>
              </w:rPr>
              <w:t>ФИО</w:t>
            </w:r>
            <w:r>
              <w:rPr>
                <w:rFonts w:ascii="Times New Roman" w:hAnsi="Times New Roman"/>
                <w:sz w:val="20"/>
              </w:rPr>
              <w:t xml:space="preserve"> /</w:t>
              <w:br/>
              <w:br/>
              <w:t>«___» ____________ 20___ г.</w:t>
            </w:r>
          </w:p>
        </w:tc>
      </w:tr>
    </w:tbl>
    <w:p>
      <w:pPr>
        <w:spacing w:after="40"/>
      </w:pPr>
    </w:p>
    <w:p>
      <w:r>
        <w:br w:type="page"/>
      </w:r>
    </w:p>
    <w:p>
      <w:pPr>
        <w:spacing w:after="80"/>
        <w:jc w:val="center"/>
      </w:pPr>
      <w:r>
        <w:rPr>
          <w:rFonts w:ascii="Times New Roman" w:hAnsi="Times New Roman"/>
          <w:b/>
          <w:sz w:val="28"/>
        </w:rPr>
        <w:t>ПРИЛОЖЕНИЕ № 4</w:t>
      </w:r>
    </w:p>
    <w:p>
      <w:pPr>
        <w:spacing w:after="280"/>
        <w:jc w:val="center"/>
      </w:pPr>
      <w:r>
        <w:rPr>
          <w:rFonts w:ascii="Times New Roman" w:hAnsi="Times New Roman"/>
          <w:b/>
          <w:sz w:val="22"/>
        </w:rPr>
        <w:t xml:space="preserve">к Сублицензионному договору № </w:t>
      </w:r>
      <w:r>
        <w:rPr>
          <w:rFonts w:ascii="Times New Roman" w:hAnsi="Times New Roman"/>
          <w:b/>
          <w:color w:val="B00000"/>
          <w:sz w:val="22"/>
        </w:rPr>
        <w:t>___/___</w:t>
      </w:r>
      <w:r>
        <w:rPr>
          <w:rFonts w:ascii="Times New Roman" w:hAnsi="Times New Roman"/>
          <w:b/>
          <w:sz w:val="22"/>
        </w:rPr>
        <w:t xml:space="preserve"> от «___» __________ 20___ г.</w:t>
        <w:br/>
        <w:t>ФОРМА ПОДТВЕРЖДЕНИЯ ПРАВОВЫХ ОСНОВАНИЙ ОБРАБОТКИ ПЕРСОНАЛЬНЫХ ДАННЫХ И ОБЗВОНА</w:t>
      </w:r>
    </w:p>
    <w:p>
      <w:pPr>
        <w:spacing w:after="120"/>
        <w:ind w:firstLine="454"/>
      </w:pPr>
      <w:r>
        <w:rPr>
          <w:rFonts w:ascii="Times New Roman" w:hAnsi="Times New Roman"/>
        </w:rPr>
        <w:t xml:space="preserve">Настоящим </w:t>
      </w:r>
      <w:r>
        <w:rPr>
          <w:rFonts w:ascii="Times New Roman" w:hAnsi="Times New Roman"/>
          <w:b/>
          <w:color w:val="B00000"/>
        </w:rPr>
        <w:t>ПОЛНОЕ НАИМЕНОВАНИЕ КЛИЕНТА</w:t>
      </w:r>
      <w:r>
        <w:rPr>
          <w:rFonts w:ascii="Times New Roman" w:hAnsi="Times New Roman"/>
        </w:rPr>
        <w:t xml:space="preserve"> (ОГРН </w:t>
      </w:r>
      <w:r>
        <w:rPr>
          <w:rFonts w:ascii="Times New Roman" w:hAnsi="Times New Roman"/>
          <w:b/>
          <w:color w:val="B00000"/>
        </w:rPr>
        <w:t>__________</w:t>
      </w:r>
      <w:r>
        <w:rPr>
          <w:rFonts w:ascii="Times New Roman" w:hAnsi="Times New Roman"/>
        </w:rPr>
        <w:t xml:space="preserve">, ИНН </w:t>
      </w:r>
      <w:r>
        <w:rPr>
          <w:rFonts w:ascii="Times New Roman" w:hAnsi="Times New Roman"/>
          <w:b/>
          <w:color w:val="B00000"/>
        </w:rPr>
        <w:t>__________</w:t>
      </w:r>
      <w:r>
        <w:rPr>
          <w:rFonts w:ascii="Times New Roman" w:hAnsi="Times New Roman"/>
        </w:rPr>
        <w:t>) подтверждает следующее.</w:t>
      </w:r>
    </w:p>
    <w:p>
      <w:pPr>
        <w:spacing w:after="120"/>
        <w:ind w:firstLine="454"/>
      </w:pPr>
      <w:r>
        <w:rPr>
          <w:rFonts w:ascii="Times New Roman" w:hAnsi="Times New Roman"/>
        </w:rPr>
        <w:t>1. Клиент является оператором персональных данных, обрабатываемых при использовании ИИ-платформы «5Plab AI», и определяет цели обработки, состав данных, круг субъектов и правовые основания.</w:t>
      </w:r>
    </w:p>
    <w:p>
      <w:pPr>
        <w:spacing w:after="120"/>
        <w:ind w:firstLine="454"/>
      </w:pPr>
      <w:r>
        <w:rPr>
          <w:rFonts w:ascii="Times New Roman" w:hAnsi="Times New Roman"/>
        </w:rPr>
        <w:t xml:space="preserve">2. Клиент поручает обработку персональных данных Индивидуальному предпринимателю </w:t>
      </w:r>
      <w:r>
        <w:rPr>
          <w:rFonts w:ascii="Times New Roman" w:hAnsi="Times New Roman"/>
          <w:b/>
          <w:color w:val="B00000"/>
        </w:rPr>
        <w:t>ФИО ПАРТНЁРА</w:t>
      </w:r>
      <w:r>
        <w:rPr>
          <w:rFonts w:ascii="Times New Roman" w:hAnsi="Times New Roman"/>
        </w:rPr>
        <w:t xml:space="preserve"> с правом привлечения последующего обработчика — Правообладатель, указанный в Спецификации к настоящему Договору.</w:t>
      </w:r>
    </w:p>
    <w:p>
      <w:pPr>
        <w:spacing w:after="120"/>
        <w:ind w:firstLine="454"/>
      </w:pPr>
      <w:r>
        <w:rPr>
          <w:rFonts w:ascii="Times New Roman" w:hAnsi="Times New Roman"/>
        </w:rPr>
        <w:t>3. Правовые основания обработки и обзвона:</w:t>
      </w:r>
    </w:p>
    <w:p>
      <w:pPr>
        <w:pStyle w:val="ListBullet"/>
        <w:spacing w:after="60"/>
        <w:ind w:left="454"/>
        <w:jc w:val="both"/>
      </w:pPr>
      <w:r>
        <w:rPr>
          <w:rFonts w:ascii="Times New Roman" w:hAnsi="Times New Roman"/>
          <w:b/>
          <w:color w:val="B00000"/>
        </w:rPr>
        <w:t>согласия субъектов персональных данных на обработку (перечень или ссылка на реестр согласий)</w:t>
      </w:r>
      <w:r>
        <w:rPr>
          <w:rFonts w:ascii="Times New Roman" w:hAnsi="Times New Roman"/>
        </w:rPr>
        <w:t>;</w:t>
      </w:r>
    </w:p>
    <w:p>
      <w:pPr>
        <w:pStyle w:val="ListBullet"/>
        <w:spacing w:after="60"/>
        <w:ind w:left="454"/>
        <w:jc w:val="both"/>
      </w:pPr>
      <w:r>
        <w:rPr>
          <w:rFonts w:ascii="Times New Roman" w:hAnsi="Times New Roman"/>
          <w:b/>
          <w:color w:val="B00000"/>
        </w:rPr>
        <w:t>согласия абонентов на получение рекламы по сетям связи (статья 18 Федерального закона № 38-ФЗ)</w:t>
      </w:r>
      <w:r>
        <w:rPr>
          <w:rFonts w:ascii="Times New Roman" w:hAnsi="Times New Roman"/>
        </w:rPr>
        <w:t>;</w:t>
      </w:r>
    </w:p>
    <w:p>
      <w:pPr>
        <w:pStyle w:val="ListBullet"/>
        <w:spacing w:after="60"/>
        <w:ind w:left="454"/>
        <w:jc w:val="both"/>
      </w:pPr>
      <w:r>
        <w:rPr>
          <w:rFonts w:ascii="Times New Roman" w:hAnsi="Times New Roman"/>
          <w:b/>
          <w:color w:val="B00000"/>
        </w:rPr>
        <w:t>основания для записи и распознавания телефонных разговоров: уведомление абонента в начале разговора, согласие, иные</w:t>
      </w:r>
      <w:r>
        <w:rPr>
          <w:rFonts w:ascii="Times New Roman" w:hAnsi="Times New Roman"/>
        </w:rPr>
        <w:t>;</w:t>
      </w:r>
    </w:p>
    <w:p>
      <w:pPr>
        <w:pStyle w:val="ListBullet"/>
        <w:spacing w:after="60"/>
        <w:ind w:left="454"/>
        <w:jc w:val="both"/>
      </w:pPr>
      <w:r>
        <w:rPr>
          <w:rFonts w:ascii="Times New Roman" w:hAnsi="Times New Roman"/>
          <w:b/>
          <w:color w:val="B00000"/>
        </w:rPr>
        <w:t>правовые основания обработки данных действующих клиентов (договоры, законные интересы — по применимости)</w:t>
      </w:r>
      <w:r>
        <w:rPr>
          <w:rFonts w:ascii="Times New Roman" w:hAnsi="Times New Roman"/>
        </w:rPr>
        <w:t>.</w:t>
      </w:r>
    </w:p>
    <w:p>
      <w:pPr>
        <w:spacing w:after="120"/>
        <w:ind w:firstLine="454"/>
      </w:pPr>
      <w:r>
        <w:rPr>
          <w:rFonts w:ascii="Times New Roman" w:hAnsi="Times New Roman"/>
        </w:rPr>
        <w:t xml:space="preserve">4. Клиент подтверждает соблюдение требований Федерального закона от 01.04.2025 № 41-ФЗ и Постановления Правительства РФ № 1300 в части маркировки вызовов и массовых рассылок: </w:t>
      </w:r>
      <w:r>
        <w:rPr>
          <w:rFonts w:ascii="Times New Roman" w:hAnsi="Times New Roman"/>
          <w:b/>
          <w:color w:val="B00000"/>
        </w:rPr>
        <w:t>маркировка настроена самостоятельно по договору с оператором связи от «___» ______ 20___ г. № ______ / поручена Партнёру в рамках Услуг</w:t>
      </w:r>
      <w:r>
        <w:rPr>
          <w:rFonts w:ascii="Times New Roman" w:hAnsi="Times New Roman"/>
        </w:rPr>
        <w:t>.</w:t>
      </w:r>
    </w:p>
    <w:p>
      <w:pPr>
        <w:spacing w:after="120"/>
        <w:ind w:firstLine="454"/>
      </w:pPr>
      <w:r>
        <w:rPr>
          <w:rFonts w:ascii="Times New Roman" w:hAnsi="Times New Roman"/>
        </w:rPr>
        <w:t>5. Клиент обеспечивает хранение подтверждений правовых оснований в течение срока действия Договора и 5 (пяти) лет после его прекращения и предоставляет их по запросу Партнёра в течение 3 (трёх) рабочих дней.</w:t>
      </w:r>
    </w:p>
    <w:p>
      <w:pPr>
        <w:spacing w:after="120"/>
        <w:ind w:firstLine="454"/>
      </w:pPr>
      <w:r>
        <w:rPr>
          <w:rFonts w:ascii="Times New Roman" w:hAnsi="Times New Roman"/>
        </w:rPr>
        <w:t>6. Клиент несёт ответственность за законность клиентских баз, сценариев, коммерческих предложений, рекламных утверждений и правовых оснований обработки персональных данных (пункт 2.4 Договора).</w:t>
      </w:r>
    </w:p>
    <w:p>
      <w:pPr>
        <w:spacing w:after="120"/>
        <w:ind w:firstLine="454"/>
      </w:pPr>
      <w:r>
        <w:rPr>
          <w:rFonts w:ascii="Times New Roman" w:hAnsi="Times New Roman"/>
        </w:rPr>
        <w:t>Подпись уполномоченного лица Клиента:</w:t>
      </w:r>
    </w:p>
    <w:tbl>
      <w:tblPr>
        <w:tblStyle w:val="TableGrid"/>
        <w:tblW w:type="auto" w:w="0"/>
        <w:jc w:val="center"/>
        <w:tblLook w:firstColumn="1" w:firstRow="1" w:lastColumn="0" w:lastRow="0" w:noHBand="0" w:noVBand="1" w:val="04A0"/>
      </w:tblPr>
      <w:tblGrid>
        <w:gridCol w:w="4677"/>
        <w:gridCol w:w="4677"/>
      </w:tblGrid>
      <w:tr>
        <w:tc>
          <w:tcPr>
            <w:tcW w:type="dxa" w:w="4762"/>
          </w:tcPr>
          <w:p>
            <w:pPr>
              <w:spacing w:after="40"/>
              <w:jc w:val="left"/>
            </w:pPr>
            <w:r/>
            <w:r>
              <w:rPr>
                <w:rFonts w:ascii="Times New Roman" w:hAnsi="Times New Roman"/>
                <w:sz w:val="20"/>
              </w:rPr>
              <w:t xml:space="preserve">Должность: </w:t>
            </w:r>
            <w:r>
              <w:rPr>
                <w:rFonts w:ascii="Times New Roman" w:hAnsi="Times New Roman"/>
                <w:b/>
                <w:color w:val="B00000"/>
                <w:sz w:val="20"/>
              </w:rPr>
              <w:t>__________</w:t>
            </w:r>
          </w:p>
        </w:tc>
        <w:tc>
          <w:tcPr>
            <w:tcW w:type="dxa" w:w="4762"/>
          </w:tcPr>
          <w:p>
            <w:pPr>
              <w:spacing w:after="40"/>
              <w:jc w:val="left"/>
            </w:pPr>
            <w:r/>
            <w:r>
              <w:rPr>
                <w:rFonts w:ascii="Times New Roman" w:hAnsi="Times New Roman"/>
                <w:sz w:val="20"/>
              </w:rPr>
              <w:t xml:space="preserve">ФИО: </w:t>
            </w:r>
            <w:r>
              <w:rPr>
                <w:rFonts w:ascii="Times New Roman" w:hAnsi="Times New Roman"/>
                <w:b/>
                <w:color w:val="B00000"/>
                <w:sz w:val="20"/>
              </w:rPr>
              <w:t>__________</w:t>
            </w:r>
          </w:p>
        </w:tc>
      </w:tr>
      <w:tr>
        <w:tc>
          <w:tcPr>
            <w:tcW w:type="dxa" w:w="4762"/>
          </w:tcPr>
          <w:p>
            <w:pPr>
              <w:spacing w:after="40"/>
              <w:jc w:val="left"/>
            </w:pPr>
            <w:r/>
            <w:r>
              <w:rPr>
                <w:rFonts w:ascii="Times New Roman" w:hAnsi="Times New Roman"/>
                <w:sz w:val="20"/>
              </w:rPr>
              <w:t xml:space="preserve">___________________________ / </w:t>
            </w:r>
            <w:r>
              <w:rPr>
                <w:rFonts w:ascii="Times New Roman" w:hAnsi="Times New Roman"/>
                <w:b/>
                <w:color w:val="B00000"/>
                <w:sz w:val="20"/>
              </w:rPr>
              <w:t>ФИО</w:t>
            </w:r>
            <w:r>
              <w:rPr>
                <w:rFonts w:ascii="Times New Roman" w:hAnsi="Times New Roman"/>
                <w:sz w:val="20"/>
              </w:rPr>
              <w:t xml:space="preserve"> /</w:t>
            </w:r>
          </w:p>
        </w:tc>
        <w:tc>
          <w:tcPr>
            <w:tcW w:type="dxa" w:w="4762"/>
          </w:tcPr>
          <w:p>
            <w:pPr>
              <w:spacing w:after="40"/>
              <w:jc w:val="left"/>
            </w:pPr>
            <w:r/>
            <w:r>
              <w:rPr>
                <w:rFonts w:ascii="Times New Roman" w:hAnsi="Times New Roman"/>
                <w:sz w:val="20"/>
              </w:rPr>
              <w:t>«___» ____________ 20___ г.</w:t>
            </w:r>
          </w:p>
        </w:tc>
      </w:tr>
    </w:tbl>
    <w:p>
      <w:pPr>
        <w:spacing w:after="40"/>
      </w:pPr>
    </w:p>
    <w:sectPr w:rsidR="00FC693F" w:rsidRPr="0006063C" w:rsidSect="00034616">
      <w:footerReference w:type="default" r:id="rId9"/>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jc w:val="both"/>
    </w:pPr>
    <w:rPr>
      <w:rFonts w:ascii="Times New Roman" w:hAnsi="Times New Roman" w:eastAsia="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